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Research Pipeline</w:t>
      </w:r>
    </w:p>
    <w:p>
      <w:r>
        <w:t xml:space="preserve"> </w:t>
      </w:r>
    </w:p>
    <w:p>
      <w:pPr>
        <w:pStyle w:val="Heading2"/>
      </w:pPr>
      <w:r>
        <w:t>Name</w:t>
      </w:r>
    </w:p>
    <w:p>
      <w:r>
        <w:t>hierarchical_occlusion_xai_mri</w:t>
      </w:r>
    </w:p>
    <w:p>
      <w:r>
        <w:t xml:space="preserve"> </w:t>
      </w:r>
    </w:p>
    <w:p>
      <w:pPr>
        <w:pStyle w:val="Heading2"/>
      </w:pPr>
      <w:r>
        <w:t>Title</w:t>
      </w:r>
    </w:p>
    <w:p>
      <w:r>
        <w:t>Hierarchical occlusion and ensemble explainability for MRI diagnostic support of distal myopathies</w:t>
      </w:r>
    </w:p>
    <w:p>
      <w:r>
        <w:t xml:space="preserve"> </w:t>
      </w:r>
    </w:p>
    <w:p>
      <w:pPr>
        <w:pStyle w:val="Heading2"/>
      </w:pPr>
      <w:r>
        <w:t>Short Hypothesis</w:t>
      </w:r>
    </w:p>
    <w:p>
      <w:r>
        <w:t>An ensemble of hierarchical occlusion and multiple XAI methods (Grad-CAM, Integrated Gradients, LRP, and a concept-based method) applied to an MRI diagnostic model for distal myopathies will increase radiologist-rated explanation plausibility (mean Likert ≥4 on a 1–5 scale) while maintaining non-inferior diagnostic AUC (within -2 percentage points) compared to the model without the ensemble explanations.</w:t>
      </w:r>
    </w:p>
    <w:p>
      <w:r>
        <w:t xml:space="preserve"> </w:t>
      </w:r>
    </w:p>
    <w:p>
      <w:pPr>
        <w:pStyle w:val="Heading2"/>
      </w:pPr>
      <w:r>
        <w:t>Related Work</w:t>
      </w:r>
    </w:p>
    <w:p>
      <w:r>
        <w:t>Existing work on explainable AI (XAI) in medical imaging primarily uses single-method saliency maps (for example Grad-CAM), gradient-based attributions (Integrated Gradients), and relevance backpropagation (LRP). Concept-based methods (such as TCAV or prototype-based approaches) have been proposed to map model behavior to human-interpretable imaging features. Occlusion testing (systematically masking image regions to measure output change) has been used to assess causal influence, but prior occlusion approaches are usually flat (single-scale, grid-based) and computationally costly on high-resolution MRI. Ensembles of explanations have been explored rarely; most prior evaluations report fragility (high sensitivity to small perturbations), poor localization fidelity, and limited clinical validation by experts. Evaluation metrics reported include deletion/insertion curves (which measure how removing/adding important pixels changes model output) and localization IoU, but these are inconsistently applied and rarely validated on lesion-level ground truth. Prior reader studies are sparse, underpowered, or lack preregistered statistical plans. Regulatory and fairness analyses are often missing or superficial.</w:t>
      </w:r>
    </w:p>
    <w:p>
      <w:r>
        <w:t xml:space="preserve"> </w:t>
      </w:r>
    </w:p>
    <w:p>
      <w:pPr>
        <w:pStyle w:val="Heading2"/>
      </w:pPr>
      <w:r>
        <w:t>Abstract</w:t>
      </w:r>
    </w:p>
    <w:p>
      <w:r>
        <w:t>We study whether combining a hierarchical occlusion technique with an ensemble of explainability methods yields clinician-oriented, interpretable explanations for an MRI diagnostic support model of distal myopathies. We introduce a hierarchical occlusion that masks nested anatomical regions (for example muscle groups then subregions) to estimate localized causal influence at multiple scales, and an ensemble framework that weights and fuses Grad-CAM, Integrated Gradients, LRP, and a concept-based method into refined visual overlays. We evaluate explanation fidelity (deletion/insertion AUC, localization IoU), stability under realistic MRI perturbations, and clinical plausibility via blinded radiologist ratings in a randomized crossover reader study. The main contribution is a reproducible pipeline that links multi-method quantitative metrics with expert assessments and regulatory-relevant reporting (non-inferiority of diagnostic performance and subgroup analyses). We expect the ensemble to improve radiologist plausibility ratings and robustly highlight disease-relevant regions without degrading diagnostic performance, supporting more transparent deployment of MRI AI for neuromuscular disorders.</w:t>
      </w:r>
    </w:p>
    <w:p>
      <w:r>
        <w:t xml:space="preserve"> </w:t>
      </w:r>
    </w:p>
    <w:p>
      <w:pPr>
        <w:pStyle w:val="Heading2"/>
      </w:pPr>
      <w:r>
        <w:t>Experiments</w:t>
      </w:r>
    </w:p>
    <w:p>
      <w:r>
        <w:t>Datasets: Collect a multi-center MRI dataset of distal myopathy cases and controls with standardized sequences (target: pilot N=150 cases for variance estimation, full study N=400–600 cases). Include lesion-level ground truth from pathology/longitudinal change or ≥3 subspecialty reads; retain probabilistic labels when consensus &lt;0.7. Baselines: (1) classifier outputs without explanations, (2) single-method explanations (Grad-CAM, Integrated Gradients, LRP, TCAV/prototype) applied individually, (3) flat occlusion (uniform grid). Proposed methods: hierarchical occlusion (nested anatomical masks) alone, and hierarchical-occlusion-weighted ensemble of the four XAI methods. Evaluation metrics: diagnostic AUC, sensitivity at pre-specified specificity, deletion AUC (area under model-output drop curve when removing top-k attribution regions), insertion AUC (gain when inserting), localization IoU against lesion GT, pointing-game accuracy, radiologist Likert plausibility (1–5), time-to-decision, subgroup AUCs by age/sex/ethnicity/scanner vendor, and fairness metrics (equalized odds differences). Reader study design: randomized crossover with 6–10 blinded radiologists; each reader reads balanced case subsets with and without explanations; primary endpoints pre-specified: AUC and radiologist mean plausibility. Powering: use Obuchowski-type clustered-reader calculations based on pilot variance to detect ΔAUC=0.05 (superiority) and non-inferiority margin -0.02 for AUC; power target 80–90%. Statistical analysis: hierarchical mixed-effects models with random intercepts for reader and case; test deletion/insertion against chance via permutation of attribution order; control multiplicity with Holm-Bonferroni for primary endpoints. Ablations: (A) ensemble vs best single method, (B) hierarchical occlusion vs flat occlusion, (C) harmonization ordering variants (intensity correction before/after registration) and their effect on explanations, (D) robustness under simulated artifacts (motion, intensity shifts) and adversarial perturbations. Implementation notes: export DICOM-compatible overlays and log model/version metadata for reproducibility.</w:t>
      </w:r>
    </w:p>
    <w:p>
      <w:r>
        <w:t xml:space="preserve"> </w:t>
      </w:r>
    </w:p>
    <w:p>
      <w:pPr>
        <w:pStyle w:val="Heading2"/>
      </w:pPr>
      <w:r>
        <w:t>Risk Factors And Limitations</w:t>
      </w:r>
    </w:p>
    <w:p>
      <w:r>
        <w:t>Technical failure modes: explanations may remain unstable under small image perturbations or protocol shifts, or may highlight confounders rather than pathology. Data biases: limited diversity in center vendors, field strengths, or demographic groups can produce unfair explanation utility across subgroups. Lesion GT limits: pathology is often unavailable, and consensus labels can be noisy, reducing localization metric validity. Statistical risks: reader study sample sizes may be insufficient to detect small plausibility differences; latent-class models may be weakly identified without informative priors. Scalability and compute: hierarchical occlusion and multi-method ensembles are computationally intensive on 3D MRI volumes and may not meet low-latency deployment targets. Generalization limits: results may not transfer to other neuromuscular disorders, MRI sequences, or institutions without harmonization, and randomized-smoothing style certifications are likely infeasible at full image resolution due to compute and memory constraints. Regulatory constraints: making explainability claims may require additional validation artifacts and timelines beyond the study scope.</w:t>
      </w:r>
    </w:p>
    <w:p>
      <w:r>
        <w:t xml:space="preserve">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