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w:t>
      </w:r>
    </w:p>
    <w:p>
      <w:r>
        <w:t xml:space="preserve"> </w:t>
      </w:r>
    </w:p>
    <w:p>
      <w:pPr>
        <w:pStyle w:val="Heading2"/>
      </w:pPr>
      <w:r>
        <w:t>Title</w:t>
      </w:r>
    </w:p>
    <w:p>
      <w:r>
        <w:t>Reliability super-net: Bayesian encoder-decoder segmentation with analytic uncertainty propagation for trustworthy image segmentation</w:t>
      </w:r>
    </w:p>
    <w:p>
      <w:r>
        <w:t xml:space="preserve"> </w:t>
      </w:r>
    </w:p>
    <w:p>
      <w:pPr>
        <w:pStyle w:val="Heading2"/>
      </w:pPr>
      <w:r>
        <w:t>Short Hypothesis</w:t>
      </w:r>
    </w:p>
    <w:p>
      <w:r>
        <w:t>Propagating posterior means and covariances analytically through encoder-decoder layers using Taylor-series moment approximations, with local Monte‑Carlo only for highly nonlinear blocks, will reduce pixel-wise calibration error (Seg-ECE) while maintaining or improving segmentation accuracy (Dice) compared to deterministic and full Monte‑Carlo sampling baselines, using fewer Monte‑Carlo samples at inference.</w:t>
      </w:r>
    </w:p>
    <w:p>
      <w:r>
        <w:t xml:space="preserve"> </w:t>
      </w:r>
    </w:p>
    <w:p>
      <w:pPr>
        <w:pStyle w:val="Heading2"/>
      </w:pPr>
      <w:r>
        <w:t>Related Work</w:t>
      </w:r>
    </w:p>
    <w:p>
      <w:r>
        <w:t>Existing work on uncertainty-aware segmentation follows two broad strategies: sampling-based Bayesian approximations (Monte‑Carlo dropout, deep ensembles, full posterior sampling) and latent-variable probabilistic segmentation models (probabilistic UNet, variational decoders). Sampling-based methods provide principled uncertainty but are costly at inference because they require many forward passes. Latent-variable models capture structured variability but often do not propagate full covariances through deep encoder-decoder architectures. Analytical moment-propagation and assumed-density filtering techniques propagate moments directly through layers but have been applied mainly to simple feedforward or small networks and often rely on crude approximations for nonlinearities, which introduces bias. Calibration methods (temperature scaling, Brier/NLL objectives, differentiable ECE) address miscalibration but do not remove sampling cost or provide per-pixel covariance estimates. Low-rank covariance parameterizations and Kronecker/separable spatial models reduce memory but typically neglect encoder-decoder skip connections and multi-scale latents. In summary, prior methods trade off either computational cost, fidelity of uncertainty (bias from approximations), or scalability to multi-scale encoder-decoder segmentation.</w:t>
      </w:r>
    </w:p>
    <w:p>
      <w:r>
        <w:t xml:space="preserve"> </w:t>
      </w:r>
    </w:p>
    <w:p>
      <w:pPr>
        <w:pStyle w:val="Heading2"/>
      </w:pPr>
      <w:r>
        <w:t>Abstract</w:t>
      </w:r>
    </w:p>
    <w:p>
      <w:r>
        <w:t>We address the problem of producing accurate pixel-wise segmentation maps together with reliable per-pixel uncertainty estimates in encoder-decoder networks without relying on expensive Monte‑Carlo sampling. We propose a Bayesian encoder-decoder framework that propagates posterior means and covariances through nonlinear layers using Taylor-series moment approximations to obtain analytic first and second moments at each pixel and scale. For blocks where analytic moments are unreliable (e.g., attention, final softmax), we apply local Monte‑Carlo with a small sample budget. The method supports diagonal and low-rank per-location covariances and amortized conditional priors for efficient inference. Main contributions are: (1) a numerically-stable analytic propagation pipeline for encoder-decoder architectures, (2) a hybrid analytic/MC switching rule based on activation skewness and kurtosis, and (3) evaluation of calibration and robustness under domain shifts and corruptions. Expected outcomes are well-calibrated uncertainty maps, reduced inference sampling cost versus full MC methods, and improved detection of out-of-distribution or corrupted inputs.</w:t>
      </w:r>
    </w:p>
    <w:p>
      <w:r>
        <w:t xml:space="preserve"> </w:t>
      </w:r>
    </w:p>
    <w:p>
      <w:pPr>
        <w:pStyle w:val="Heading2"/>
      </w:pPr>
      <w:r>
        <w:t>Experiments</w:t>
      </w:r>
    </w:p>
    <w:p>
      <w:r>
        <w:t>Datasets: BraTS (brain tumor MRI), Medical Segmentation Decathlon subsets (MSD liver, MSD pancreas), ISIC (skin lesion), DRIVE (retinal vessel), SEN12MS and DeepGlobe (remote sensing). Include multi-rater annotations where available. Create OOD splits by hold-out centers/scanners, temporal splits, and synthetic corruptions (ImageNet-C style: Gaussian noise, blur, contrast) at severities 1–5. Baselines: (A) deterministic UNet with ResNet-34 encoder, (B) MC-dropout UNet (S_eval=20), (C) deep ensembles (3 members), (D) probabilistic UNet / latent‑variable segmentation, (E) evidential Dirichlet variant. Proposed variants: diagonal-covariance analytic propagation, low-rank per-location Σ=D+UU^T with rank r∈{4,8}, hybrid analytic+local-MC (local MC S_local=4), and an analytic-only ablation. Evaluation metrics: per-class Dice, mean IoU, Boundary F1; probabilistic metrics: pixel-wise NLL, Brier score, Seg-ECE (classwise and size-weighted), predictive entropy, mutual information (epistemic measure); OOD/robustness: AUROC/AUPR for OOD detection using entropy/MI, AUSE, Risk‑Coverage curves, and region-level AUC for low-IoU detection. Statistical protocol: run ≥5 random seeds per ablation (target 10 for final claims), report 95% bootstrap CIs with 10k resamples, use paired Wilcoxon signed-rank tests with effect sizes and Benjamini‑Hochberg correction. Training and hyperparameters: input size 512×512, batch size 4, mixed precision, S_train=4, S_eval=20 (S is Monte‑Carlo samples), KL annealing linear 0→1 over first 20k steps (KL anneal: gradually increases weight of KL), free-bits 0.5 nats per latent dim, β ∈ {0.1,0.3,1.0} for final tuning. Ablations: (1) diagonal vs low-rank Σ (r=4 vs r=8), (2) analytic-only vs hybrid with skew/kurtosis switching thresholds (skewness |γ3| and kurtosis γ4), (3) control‑variates and antithetic sampling vs none, (4) differentiable Seg‑ECE loss weight {0,0.01} after 10-epoch warm-start. Compute profiling: measure FLOPs, GPU peak RAM, and wall-clock latency for forward/backward per configuration and report resource numbers for training and per-image inference. Optional human pilot: within-subjects study with 8–12 domain experts, tasks: segmentation verification and triage, outcomes: calibration alignment (Spearman), time-to-decision, sensitivity at preset abstention thresholds.</w:t>
      </w:r>
    </w:p>
    <w:p>
      <w:r>
        <w:t xml:space="preserve"> </w:t>
      </w:r>
    </w:p>
    <w:p>
      <w:pPr>
        <w:pStyle w:val="Heading2"/>
      </w:pPr>
      <w:r>
        <w:t>Risk Factors And Limitations</w:t>
      </w:r>
    </w:p>
    <w:p>
      <w:r>
        <w:t>Analytic approximations bias: Taylor-series and moment-matching can underestimate higher-order statistics (skew/kurtosis), producing miscalibrated uncertainties in highly nonlinear regions. Switching rule errors: thresholds based on skewness/kurtosis may produce false positives (unnecessary MC) or false negatives (missed nonlinearities). Spatial correlation limits: per-location covariances ignore cross-location spatial dependence; this can miss structured uncertainty along boundaries. Rank sensitivity: low-rank U selection (r) may be dataset-dependent; too small r underfits covariance, too large r increases memory and instability. Numerical stability: learning log-variances and small eigenvalues can overflow/underflow without clamping or log-space care. Compute and memory: low-rank per-location Σ and local MC increase FLOPs and GPU memory; may be infeasible for very large images or limited hardware. Label-noise realism: simulated boundary noise may not match true inter-rater disagreement, biasing aleatoric evaluation. Statistical power: human-in-the-loop pilot with 8–12 experts may be underpowered to detect small changes in sensitivity or calibration slope. Generalization: methods tuned on medical/remote-sensing datasets may not transfer to very different modalities without retuning hyperparameters.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