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sasnet_scale_aware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Scale-Aware Adaptive Supervised Network for semi-supervised medical image segmentation with limited annotations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Combining scale-aware adaptive pixel reweighting, 3D Fourier-domain view-variance augmentation, and segmentation–regression consistency with signed distance maps increases patient-wise Dice by at least 2% relative to a matched semi-supervised 3D U-Net baseline under identical limited-annotation conditions.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Current approaches to semi-supervised medical image segmentation fall into several families: (1) consistency- or teacher-student methods (e.g., Mean Teacher) that enforce agreement between perturbed predictions but can suffer from pseudo-label drift when teacher errors accumulate; (2) pseudo-labeling and self-training (e.g., NoisyStudent, FixMatch variants) that generate hard labels for unlabeled data but are sensitive to label noise and overconfident mistakes; (3) uncertainty-based gating using MC-dropout or ensembles to filter unreliable predictions but with trade-offs in compute; (4) multi-scale or scale-aware architectures and losses that address objects of varying size but often rely on handcrafted scale maps or fixed pyramid fusion; (5) geometric supervision using signed distance maps or boundary losses to improve edge fidelity but typically applied only as an auxiliary loss in fully supervised setups; (6) data-domain augmentations including Fourier-based methods to model style or frequency shifts, mostly used for domain adaptation rather than simulated annotation variability. Limitations across these lines include poor multi-scale boundary precision under scarce labels, pseudo-label drift and overconfidence without strong uncertainty gating, limited simulation of annotation/view variability, and lack of unified frameworks that jointly leverage spatial, temporal, and geometric consistency.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semi-supervised medical image segmentation when expert annotations are scarce. We propose SASNet, a unified dual-branch architecture that fuses low-level and high-level features and enforces spatial, temporal, and geometric consistency. SASNet introduces (1) a scale-aware adaptive reweighting that dynamically gates per-pixel pseudo supervision using accumulated temporal confidence (a running measure of prediction reliability), (2) a view-variance augmentation in the 3D Fourier domain to simulate realistic inter-annotator and scanner variations, and (3) segmentation–regression consistency that trains a signed distance map (a map giving distance to the nearest boundary, signed inside/outside) alongside mask prediction to sharpen boundaries. The main contribution is integrating these components into a single semi-supervised objective that targets scale sensitivity, boundary precision, and pseudo-label robustness. We expect SASNet to produce higher patient-wise Dice, improved small-lesion sensitivity, and better-calibrated confidence estimates compared to strong semi-supervised baselines, while keeping computational cost compatible with practical GPU resources.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use a public 3D medical segmentation dataset subset (e.g., Medical Segmentation Decathlon liver or a small BraTS subset). Construct a pilot set of 50 training volumes and 20 held-out test volumes stratified by organ/lesion size (small/medium/large). For power analysis and final evaluation, run an expanded test set of 40–60 patients. Create labeled fractions simulating annotation scarcity: 1%, 5%, 10% of pixels/volumes labeled; remaining volumes treated as unlabeled. Include weak labels (scribbles/centroids) where available. Baselines: (A) fully supervised 3D U-Net and nnUNet trained on labeled fraction only, (B) semi-supervised Mean Teacher, (C) FixMatch-adapted for segmentation, (D) NoisyStudent, (E) Cross-Teaching, (F) UNet++ and Attention U-Net as architecture baselines. Metrics: primary = patient-wise Dice (higher is better). Secondary = lesion-wise sensitivity (recall), false positives per volume (FP/vol), FROC (sensitivity at 0.5/1/2 FP/vol), 95% Hausdorff distance (HD95), volume error, expected calibration error (ECE), Brier score, and mean absolute percentage error (MAPE) for scale-map regression. Experimental setup: model = 3D U-Net (base channels 32, depth 4, instance norm) or nnUNet reference; input crops 128^3, batch size 2, train 200 epochs, seeds = [42,123,2024]. Pseudo-label pipeline: maintain student and 3 EMA teachers (decays m∈{0.99,0.995,0.999}), MC-dropout N_mc=8 with dropout p=0.2 in decoder/heads to estimate uncertainty; confidence weight w=sigmoid(k*(conf−tau)) with default k=10, tau=0.80. Pseudo-label schedule: pseudo-weight linear ramp 0→1 over first 20 epochs, consistency ramp to full by epoch 40; periodic supervised-only fine-tune 5 epochs every 50 epochs. Calibration/trust set: reserve 20–30 labeled volumes distinct from training/validation for threshold tuning (softmax max and entropy gates). Ablations and comparisons: (1) uncertainty gating: MC-dropout vs deep ensembles (3 models) vs evidential single-run, (2) remove scale branch to test scale supervision effect, (3) disable 3D Fourier view-variance augmentation, (4) scale-encoding variants: log(1+diameter), raw diameter, sqrt(diameter), and discrete bins, (5) vary λ_scale ∈ {0.25,0.5,1.0} and EMA decay ∈ {0.99,0.999}, (6) pseudo-label fusion: single teacher vs multi-teacher majority vs confidence-weighted soft fusion. Report mean and 95% bootstrap CIs (1000 stratified resamples by patient and scale), run each configuration with 3 seeds, and perform paired statistical tests (paired bootstrap or Wilcoxon) on primary metric.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pseudo-label drift where teachers reinforce wrong predictions and degrade student performance; teacher collapse where all EMA teachers converge to the same biased output; poor calibration causing overconfident incorrect pseudo-label acceptance. Data and evaluation biases: training/test splits that do not reflect scanner or population diversity, imbalanced lesion-size distributions, and inter-annotator variability that makes a single ground truth ambiguous. Small-lesion limits: lesions below imaging resolution (e.g., &lt;5 mm) may remain undetected or have unstable Dice. Scale supervision limits: distance-transform-derived local diameters assume accurate binary masks and isotropic voxel spacing; errors in spacing or masks bias the scale map. Compute and scalability: MC-dropout and multi-teacher ensembles increase GPU time and memory; deep ensembles multiply cost further, limiting large-scale ablations. Generalization limits: model tuned on a single dataset or vendor may not transfer to other sites without additional OOD evaluation. Privacy and governance constraints: de-identification and DUA limits may restrict public release of raw data for reproduction. Statistical limits: small test sets reduce power to detect small Dice gains; effect-size assumptions may be optimistic.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