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cmrxmotion_robust_segmentation_iqa</w:t>
      </w:r>
    </w:p>
    <w:p>
      <w:r>
        <w:t xml:space="preserve"> </w:t>
      </w:r>
    </w:p>
    <w:p>
      <w:pPr>
        <w:pStyle w:val="Heading2"/>
      </w:pPr>
      <w:r>
        <w:t>Title</w:t>
      </w:r>
    </w:p>
    <w:p>
      <w:r>
        <w:t>Deep learning-based joint image-quality assessment and myocardial segmentation for cardiac cine MRI under extreme respiratory motion</w:t>
      </w:r>
    </w:p>
    <w:p>
      <w:r>
        <w:t xml:space="preserve"> </w:t>
      </w:r>
    </w:p>
    <w:p>
      <w:pPr>
        <w:pStyle w:val="Heading2"/>
      </w:pPr>
      <w:r>
        <w:t>Short Hypothesis</w:t>
      </w:r>
    </w:p>
    <w:p>
      <w:r>
        <w:t>Conditioning a myocardial segmentation network on a learned image-quality assessment (IQA) score trained from controlled-motion cine MRI reduces absolute ejection fraction (EF) error by at least 3 percentage points on an extreme-respiratory-motion test set compared to the same segmentation network trained without IQA conditioning.</w:t>
      </w:r>
    </w:p>
    <w:p>
      <w:r>
        <w:t xml:space="preserve"> </w:t>
      </w:r>
    </w:p>
    <w:p>
      <w:pPr>
        <w:pStyle w:val="Heading2"/>
      </w:pPr>
      <w:r>
        <w:t>Related Work</w:t>
      </w:r>
    </w:p>
    <w:p>
      <w:r>
        <w:t>Existing approaches separate tasks: (1) cine MRI reconstruction methods focus on motion-robust acquisition and reconstruction (e.g., golden-angle radial, self‑navigated, compressed sensing) to reduce artifacts but do not jointly optimize downstream clinical tasks; (2) segmentation models for cardiac cine MRI (U-Net variants and 3D+time networks) are typically trained on breath-hold or low-motion data and degrade under respiratory artifacts; (3) image-quality assessment (IQA) works classify or score motion severity but are rarely integrated with segmentation; (4) simulation and synthetic augmentation methods create motion-corrupted examples but often lack validation against measured motion (DENSE/tagging) and per-voxel uncertainty; (5) uncertainty techniques (deep ensembles, MC dropout) are used for failure detection but are not standardized for cardiac MRI under extreme motion. Limitations across prior work include lack of controlled-motion public datasets, limited evaluation on arrhythmia/irregular gating, inconsistent metrics for motion fidelity (TRE, PSD, EMD), and scarce baselines that report runtime, memory, and calibration performance.</w:t>
      </w:r>
    </w:p>
    <w:p>
      <w:r>
        <w:t xml:space="preserve"> </w:t>
      </w:r>
    </w:p>
    <w:p>
      <w:pPr>
        <w:pStyle w:val="Heading2"/>
      </w:pPr>
      <w:r>
        <w:t>Abstract</w:t>
      </w:r>
    </w:p>
    <w:p>
      <w:r>
        <w:t>Respiratory motion introduces complex artifacts in cardiac cine MRI that impair automated myocardial segmentation and clinical metrics such as ejection fraction (EF). We propose a joint pipeline that combines an image-quality assessment (IQA) module with a segmentation network: the IQA module predicts motion severity and uncertainty from reconstructed cine frames, and the segmentation network conditions on these predictions to adapt inference (for example weighting temporal context or invoking uncertainty-aware outputs). The method is trained and validated on a controlled-motion dataset that spans mild to extreme respiratory patterns and is evaluated against measured motion references (DENSE/tagging traces). Main contributions are (1) a reproducible joint IQA+segmentation framework for extreme respiratory motion, (2) validated use of controlled-motion synthetic augmentation aligned to measured displacement fields, and (3) integrated uncertainty scoring for failure detection and leaderboard calibration. We expect the joint approach to improve segmentation robustness and reduce EF error on extreme-motion cases while producing calibrated per-case uncertainty useful for clinical triage.</w:t>
      </w:r>
    </w:p>
    <w:p>
      <w:r>
        <w:t xml:space="preserve"> </w:t>
      </w:r>
    </w:p>
    <w:p>
      <w:pPr>
        <w:pStyle w:val="Heading2"/>
      </w:pPr>
      <w:r>
        <w:t>Experiments</w:t>
      </w:r>
    </w:p>
    <w:p>
      <w:r>
        <w:t>Datasets: (1) CMRxMotion controlled-motion cine dataset: train 350 / val 75 / test 75 with test containing &gt;=25 extreme-motion and &gt;=15 arrhythmia cases; per-case: raw k-space (ISMRMRD), breath signals, DENSE/tagging where available, and ground-truth ED/ES endo/epi contours (with/without papillary muscles) and 3D+time displacement maps. (2) Public validation: selected DENSE and tagged cardiac MRI datasets with navigator/bellows traces (use exact accession list in repository metadata). (3) Synthetic: biomechanical-simulated displacement fields parameterized across amplitude (0–6 cm), rate (8–20 bpm), abrupt shifts, sighs and coughs. Baselines: A) segmentation-only U-Net (3D+time) trained on same data without IQA; B) two reconstruction+segmentation pipelines (low-latency golden-angle NUFFT + light U-Net denoiser; high-quality motion-compensated joint recon + 3D+T U‑Net) using provided baseline code; C) segmentation conditioned on a naïve motion amplitude scalar (ablation). Model and training: Adam optimizer, lr=1e-4, batch size 4 volumes, 200 epochs, early stopping on val Dice; IQA head predicts motion severity class and continuous uncertainty (heteroscedastic head). Uncertainty methods: compare deep ensembles (N=5) vs MC dropout (p=0.2) vs single model. Evaluation metrics: segmentation Dice (myocardium and blood pool; papillary-included and excluded), 95% Hausdorff distance (mm), myocardial edge TRE (target registration error in mm; TRE measures distance between predicted and true myocardial edges), EF absolute error (%) and bias, image similarity SSIM and normalized RMSE (NRMSE), calibration: expected calibration error (ECE) and negative log-likelihood (NLL), failure detection AUC (uncertainty vs per-case EF error). Runtime/memory: per-frame and per-case walltime and peak GPU memory on RTX2080Ti and A100 using standardized ISMRMRD testcases (fixed frame counts: 100 frames, resolution 1.5–2.5 mm, temporal res 20–40 ms). Ablations: (1) with vs without IQA conditioning; (2) with simulated augmentation vs real-only training; (3) uncertainty method comparison (ensembles vs MC dropout vs none). Statistical tests: paired t-test for EF error differences, report 95% CI and effect size. Reproducibility: containerized evaluation (Docker), fixed RNG seeds, pinned dependency versions, and a dry-run subset for CI.</w:t>
      </w:r>
    </w:p>
    <w:p>
      <w:r>
        <w:t xml:space="preserve"> </w:t>
      </w:r>
    </w:p>
    <w:p>
      <w:pPr>
        <w:pStyle w:val="Heading2"/>
      </w:pPr>
      <w:r>
        <w:t>Risk Factors And Limitations</w:t>
      </w:r>
    </w:p>
    <w:p>
      <w:r>
        <w:t>Technical failure modes: segmentation collapse on frames with extreme blur or missing k-space lines; IQA misclassification leading to incorrect conditioning. Data/evaluation biases: training set may not cover all real-world breathing archetypes or vendor-specific artifacts; DENSE/tagging reference coverage may be sparse, limiting motion-fidelity validation. Ground-truth uncertainty: displacement fields from biomechanical models have model error and may not capture all physiological variability. Scalability and compute: training ensembles and motion-compensated reconstructions require high GPU memory and long runtimes, limiting reproducibility for groups with limited hardware. Annotation burden: manual ED/ES and LGE annotations are time-consuming (estimated 30–60 min/case) and inter-reader variability can widen confidence intervals. Generalization limits: performance may degrade on unseen vendors, field strengths, or novel arrhythmia patterns not represented in training. Privacy and governance constraints: controlled access to raw k-space and linked physiological signals may restrict external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