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memory_wavelet_ultrasound_seg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Memory-bank and wavelet-based network for segmentation of long ultrasound videos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 temporal wavelet decomposition module and a long-short-term memory bank into a segmentation network will increase boundary-focused Dice by &gt;=1.5% and reduce identity-switch count by &gt;=30% on held-out long ultrasound video test sets compared to a frame-wise UNet baseline trained under the same data and compute constraints.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ultrasound and medical video segmentation mainly uses frame-wise CNNs (e.g., UNet variants) or short-window temporal models (2D+convLSTM or 3D CNNs) to exploit local motion. Separately, memory-bank and external-memory methods in video tasks provide longer temporal context by storing compact keys/values for retrieval, but prior memory solutions often target generic video and do not emphasize medical speckle-noise or small-object boundaries. Wavelet- and multiresolution methods have been applied to images to preserve high-frequency details (wavelet = a filter that separates signal into coarse and fine parts) and to denoise speckle, but they are rarely combined with video memory or made learnable in a segmentation pipeline. Tracking/ID work uses IoU + appearance matching and triplet losses for identity consistency but faces false negatives from noisy negatives and long occlusions. Limitations across prior methods: (1) insufficient long-term context for long videos, (2) weak handling of ultrasound speckle and small-object boundaries, (3) identity switches under occlusion, and (4) limited stability controls for learnable wavelet filters.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segmentation of long ultrasound videos where temporal context, speckle noise, and small objects create challenges for accurate and stable masks. We propose a network that fuses multi-scale spatiotemporal features using a memory bank (an external, fixed-capacity store of key/value embeddings) and a temporal wavelet module (discrete wavelet transform that separates high- and low-frequency temporal information). The memory bank models long-term context and object identity across many frames; the wavelet branch emphasizes high-frequency fine-grained details while enforcing temporal smoothness on low-frequency components. The main contribution is an integrated architecture and loss set that jointly optimizes segmentation accuracy, memory consistency, and wavelet coefficient stability. Expected outcome: improved boundary and small-object segmentation, fewer identity switches across long sequences, and robust temporal consistency for clinical ultrasound video analysis.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Internal long ultrasound video corpus per-organ: target 500–1,000 sequences (10k–20k labeled frames) for major organs; (2) Pathology subset: 200–500 sequences for lesions; (3) Held-out external site for cross-site generalization; (4) Optional synthetic speckle dataset for controlled tests. Baselines: frame-wise UNet, UNet+convLSTM (short-term temporal), memory-bank only (no wavelet), wavelet-only (no memory), and two-stage tracking+segmentation pipeline. Metrics: per-frame Dice, IoU, Boundary F1 (boundary-focused accuracy), Hausdorff-95, temporal IoU, frame-to-frame IoU delta, contour jitter (temporal instability), ID-switch count, ID F1, runtime ms/frame, peak GPU memory, calibration (Brier score, expected calibration error). Training setup: total loss L = w_seg*L_seg + w_mem*L_mem + w_wave*L_wave + w_id*L_id with default weights w_seg=1.0, w_mem=0.5, w_wave=0.1, w_id=0.2; L_seg = 1 - Dice; L_mem = pixelwise KL between current logits and memory logits; L_wave = alpha*sum||high_coeff||_1 + beta*sum||low_coeff_t - smooth(low_coeff_{t-1})||_2^2; L_id = CE + lambda_triplet * Triplet. Default wavelet families to test: Haar, Daubechies-4 (db4), Symlet-4, and learnable filter banks; decomposition levels L in {2,3,4}. Hyperparameter ablations: w_wave ∈ {0.01,0.05,0.1,0.5}, alpha ∈ {0.5,1.0,2.0}, beta ∈ {0.25,0.5,1.0}, triplet margin m ∈ {0.1,0.2,0.4}, memory slots ∈ {128,256,512}, top-k ∈ {4,8,16}, per-class slot cap ∈ {32,64,128}. Experimental protocol: exploratory runs with 5 random seeds per configuration; final reported comparisons with 10 seeds. Ablation study: (A) memory on/off, (B) wavelet fixed vs learnable, (C) wavelet levels 2 vs 4, (D) ID loss on/off, (E) top-k sensitivity, (F) slot counts. Statistical analysis: bootstrap 95% CIs for metrics, permutation tests for pairwise comparisons, Benjamini–Hochberg FDR correction across the ablation matrix. Runtime profiling: measure ms/frame and peak GPU memory on A5000; targets ≤40 ms/frame and ≤6 GB for model+memory.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learnable wavelet filters may drift (coefficients diverge) causing instability; memory consolidation or merge policy may cause semantic collapse or overwrite rare classes. Data and evaluation biases: annotation density and quality (sparse keyframes) can bias results toward frequently labeled views; class imbalance (rare lesions) may produce unstable estimates. Identity and negative mining risks: false negatives when sampling negatives from memory or cross-batch may pull true positives apart, increasing ID errors. Scalability and compute: larger slot counts, higher top-k, or learnable wavelets increase runtime and memory beyond deployment budgets (targets may not be met on weaker GPUs). Generalization limits: acoustic vendor differences, probe settings, and unseen artifacts may reduce performance out-of-distribution. Reproducibility constraints: non-deterministic GPU ops (cuDNN), mixed-precision numerical differences, and unavailable raw pixels (privacy) can hinder exact replication. Evaluation limits: detecting small (&lt;1%) Dice changes requires large data and compute; pilot variance must be estimated before confirming sample-size targets.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