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disentangled_anatomy_pseudohealthy_ad</w:t>
      </w:r>
    </w:p>
    <w:p>
      <w:r>
        <w:t xml:space="preserve"> </w:t>
      </w:r>
    </w:p>
    <w:p>
      <w:pPr>
        <w:pStyle w:val="Heading2"/>
      </w:pPr>
      <w:r>
        <w:t>Title</w:t>
      </w:r>
    </w:p>
    <w:p>
      <w:r>
        <w:t>Unsupervised brain MRI anomaly detection using disentangled anatomy representations and edge-to-image pseudo-healthy reconstruction</w:t>
      </w:r>
    </w:p>
    <w:p>
      <w:r>
        <w:t xml:space="preserve"> </w:t>
      </w:r>
    </w:p>
    <w:p>
      <w:pPr>
        <w:pStyle w:val="Heading2"/>
      </w:pPr>
      <w:r>
        <w:t>Short Hypothesis</w:t>
      </w:r>
    </w:p>
    <w:p>
      <w:r>
        <w:t>Separating anatomy, pathology, and site into disentangled latent variables and reconstructing pseudo-healthy images from edge-derived anatomy reduces abnormal residuals and increases lesion-wise sensitivity at a fixed false-positive rate (FPR=0.05) on held-out multi-center brain MRI data compared to non-disentangled reconstruction baselines.</w:t>
      </w:r>
    </w:p>
    <w:p>
      <w:r>
        <w:t xml:space="preserve"> </w:t>
      </w:r>
    </w:p>
    <w:p>
      <w:pPr>
        <w:pStyle w:val="Heading2"/>
      </w:pPr>
      <w:r>
        <w:t>Related Work</w:t>
      </w:r>
    </w:p>
    <w:p>
      <w:r>
        <w:t>Existing unsupervised MRI anomaly detection approaches fall into two broad families: reconstruction-based methods (autoencoders, VAEs, and generative models) that flag large reconstruction residuals as anomalies, and density/one-class methods that detect low-likelihood patterns in feature space. Pseudo-healthy generation methods synthesize a healthy version of an input to highlight abnormalities. Recent disentanglement work separates factors like anatomy and appearance to improve interpretability. Harmonization and adversarial domain adaptation aim to reduce site effects but can inadvertently suppress pathology. Limitations in prior methods include: pathology leakage into ‘‘healthy’’ reconstructions (so lesions are partially reconstructed and missed), poor sensitivity for small or low-contrast lesions, weak cross-site and multi-modality generalization, limited identifiability diagnostics for latent factor separation, and lack of rigorous harmonization containment tests. Edge-guided or high-frequency priors have been used in image restoration but have not been combined systematically with disentangled anatomy priors and rigorous multi-center evaluation.</w:t>
      </w:r>
    </w:p>
    <w:p>
      <w:r>
        <w:t xml:space="preserve"> </w:t>
      </w:r>
    </w:p>
    <w:p>
      <w:pPr>
        <w:pStyle w:val="Heading2"/>
      </w:pPr>
      <w:r>
        <w:t>Abstract</w:t>
      </w:r>
    </w:p>
    <w:p>
      <w:r>
        <w:t>We address unsupervised detection of brain abnormalities in multi-center, multi-modality MRI by learning a disentangled representation that separates stable anatomical structure, localized pathology, and site/acquisition effects. Our method constrains an anatomy latent with atlas-derived priors and a differentiable one-hot operator, derives high-frequency edge representations of anatomy, and uses an edge-to-image restoration module to produce high-quality pseudo-healthy MRIs that recouple site factors while suppressing abnormal residuals. The main contribution is a two-module framework that (1) promotes identifiable separation of anatomy, pathology, and site through explicit total-correlation penalties and staged training, and (2) reconstructs sharper pseudo-healthy images from edge cues to improve lesion localization. We evaluate identifiability with mutual-information proxies and latent traversals, measure pathology preservation under harmonization, and report lesion-wise detection metrics stratified by lesion size and site. Expected outcomes are improved lesion-wise sensitivity at fixed false-positive rates, better small-lesion detection, and stronger multi-center robustness without supervised lesion labels.</w:t>
      </w:r>
    </w:p>
    <w:p>
      <w:r>
        <w:t xml:space="preserve"> </w:t>
      </w:r>
    </w:p>
    <w:p>
      <w:pPr>
        <w:pStyle w:val="Heading2"/>
      </w:pPr>
      <w:r>
        <w:t>Experiments</w:t>
      </w:r>
    </w:p>
    <w:p>
      <w:r>
        <w:t>Primary endpoint: lesion-wise sensitivity at fixed FPR = 0.05 (false-positive rate per decision threshold calibrated on held-out healthy scans). Datasets: multi-center retrospective cohorts spanning T1-weighted, FLAIR, DWI/ADC, and SWI modalities; initial pilot N=50 (for power/variance estimates), training-scale experiments at N≈1,000 and N≈5,000 with held-out-site splits (one or more entire sites reserved for prospective evaluation). Synthetic lesions: parameterized generator (ellipsoids + Perlin-noise shapes) with modality-specific contrast, PSF blur, partial-volume mixing, edema rings, and size strata (&lt;5 mm, 5–20 mm, &gt;20 mm). Baselines: reconstruction AE/VAE, normalizing flows, one-class classifiers (OC-SVM or deep OC nets), deep ensembles (reconstruction residuals), voxelwise z-score normative maps, and atlas-based normative detection. Model setup: three-branch disentangled VAE with z_A (anatomy), z_P (pathology), z_S (site); TC penalty with β_TC ramp 0→5 over 100 epochs; KL capacities C_A=5, C_P=3, C_S=2 nats ramped over 200 epochs; edge-to-image restoration module reconstructs images from high-frequency edge maps (edges computed with differentiable operator). Adversarial site classifier trained only on clearly healthy scans (to avoid pathology suppression). Evaluation metrics: lesion-wise sensitivity, precision, F1, IoU; voxelwise AUROC and AUPRC; false-positives per scan; FPR@sensitivity (report FPR@0.95 and FPR@0.90); calibration metrics (Brier score, expected calibration error ECE). Stratification: report all metrics by lesion-size strata and by site and modality. Statistical tests: paired bootstrap CIs and Wilcoxon signed-rank tests for within-scan paired comparisons, hierarchical Bayesian pooling for site-level estimates, Benjamini-Hochberg FDR for multiple endpoints. Ablations: (A) remove disentanglement (single-branch VAE), (B) remove edge-to-image restoration (standard decoder), (C) enable full adversarial site classifier including pathological scans, (D) harmonization before/after synthetic-lesion insertion (ComBat and latent-level harmonization). Identifiability diagnostics: compute kNN Kraskov MI, HSIC, and MINE between z_A, z_P, z_S with subject-level bootstrap CIs; perform latent traversals (−3σ..+3σ in 11 steps) across individual dims and top-3 PCs; report classifier-proxy accuracy (z_A vs tissue labels, z_P vs injected lesion masks, z_S vs scanner metadata). Power analysis: use pilot variance to produce per-stratum power curves and minimal detectable effect sizes; include code and scripts for these calculations in the reproducibility package. Reproducibility artifacts: container image hash, exact seeds, data-split manifests, training checkpoints, and a one-hour end-to-end demo dataset with scripts to reproduce primary endpoint.</w:t>
      </w:r>
    </w:p>
    <w:p>
      <w:r>
        <w:t xml:space="preserve"> </w:t>
      </w:r>
    </w:p>
    <w:p>
      <w:pPr>
        <w:pStyle w:val="Heading2"/>
      </w:pPr>
      <w:r>
        <w:t>Risk Factors And Limitations</w:t>
      </w:r>
    </w:p>
    <w:p>
      <w:r>
        <w:t>Identifiability failure: disentanglement may not separate pathology from anatomy (measured by MI/TC), causing missed lesions. Pathology suppression: harmonization or adversarial site-invariance can attenuate lesion contrast. Synthetic-real gap: synthetic lesions may not span the real lesion appearance distribution, biasing ablations. Small-lesion sensitivity: micro-lesions (&lt;5 mm) may remain below CNR or partial-volume thresholds and produce unstable metrics; minimum voxel-count issues for evaluation. Domain shift: rare scanner types, temporal drift, or unseen modalities may degrade performance. Compute and scale: full 3D models on large cohorts require substantial GPU-hours and storage. Privacy risks: model inversion or membership attacks if releases are not access-controlled. Clinical workflow impact: false positives per scan may create unacceptable radiologist workload. Statistical limits: class imbalance and low lesion counts for rare pathologies reduce statistical power and widen CIs. Generalization limits: method may perform unevenly across modalities (e.g., SWI microbleeds versus FLAIR tumors) and patient subpopulations.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