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lctfound_diffusion_multimodal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Diffusion-based multimodal pretraining for a lung CT vision foundation model to improve multi-task CT diagnosis and imaging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Pretraining a single 3D lung CT foundation model using diffusion-based self-supervision combined with joint encoding of clinical metadata causes higher downstream sensitivity for nodules ≥6 mm and higher segmentation Dice across multi-center datasets than (a) supervised training from scratch and (b) contrastive/self-supervised pretraining without diffusion or clinical metadata.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three groups: (1) supervised CT task-specific models (for example, 3D U-Nets and detection networks) that perform well but need large labeled sets and do not transfer across tasks; (2) self-supervised and contrastive methods (for example, masked volume modeling or SimCLR-style losses) that reduce label needs but have limited evaluation on large 3D CT cohorts and mixed-effect clinical outcomes; (3) generative diffusion models and transformer-based vision backbones recently applied to medical imaging for synthesis and denoising, but typically at small scale or for single tasks. Domain-adaptation methods (CORAL, DANN, contrastive alignment) address scanner/protocol shifts but are usually evaluated separately and not within a single foundation model. Limitations across prior work include scarce large-scale multi-center pretraining on chest CT, weak integration of clinical metadata with image pretraining, limited ablation of diffusion vs contrastive pretraining for 3D CT, and insufficient testing of a single model across many downstream tasks and fairness slices.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to build and evaluate LCTFound, a lung CT vision foundation model pretrained with diffusion-based self-supervision and joint clinical–image encoding on a large multi-center corpus. Diffusion-based pretraining is a generative self-supervised method where a model learns to reverse a noise process, thereby learning rich image structure; joint encoding means clinical metadata (age, sex, smoking status, prior reports) are input alongside images. The main contribution is a single 3D model that can be fine-tuned for multiple tasks—nodule detection, lesion segmentation, CT enhancement, sparse-view reconstruction, diagnosis, and prognosis—without task-specific pretraining. We compare diffusion pretraining to contrastive and masked-volume baselines, and ablate the value of clinical metadata and domain-adaptation modules. Expected outcomes are improved sensitivity for clinically relevant nodules (≥6 mm), higher segmentation overlap (Dice), stronger robustness across centers and protocols, and demonstrable interpretability and fairness metrics. This work tests whether diffusion-based multimodal pretraining yields a practically useful, generalizable lung CT foundation model.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Pretraining dataset: lungCT-28M (multi-center unlabeled CT volumes) plus held-out public volumes for validation. Fine-tuning datasets and tasks: (1) nodule detection/quantification — combine low-dose screening scans (target 2,000–5,000 scans) plus enriched archive with 200–300 scans containing confirmed ≥6 mm nodules (aim ≥140–200 positive lesions); (2) lesion segmentation — LIDC-IDRI and curated multi-center segmentation subset (≥500 segmented lesions); (3) ILD pattern classification/progression — OSIC and in-house ILD cohort; (4) COPD quantification — COPDGene; (5) sparse-view reconstruction and CT enhancement — paired reduced-projection and full CT reconstructions from multi-center sources; (6) virtual CTA synthesis — contrast/non-contrast paired studies where available. Baselines: (A) supervised task-specific 3D U-Net / detector trained from scratch; (B) contrastive pretraining (SimCLR-style) then fine-tune; (C) masked-volume autoencoding pretraining then fine-tune. Proposed model variants: (1) diffusion pretraining only; (2) diffusion + clinical metadata joint encoder; (3) diffusion + domain adaptation (CORAL, DANN, contrastive alignment) ablation arms. Evaluation metrics: nodule sensitivity for nodules ≥6 mm with 95% two-sided CI (use Clopper-Pearson exact CI), FROC (free-response ROC), per-scan FP rate, AUC for classification tasks, Dice and IoU for segmentation, localization AUC (centroid vs heatmap), calibration (Brier score), decision-curve net benefit, PPV/NPV at clinically chosen thresholds, inference latency (seconds per CT on 16 GB GPU and multi-core CPU), model artifact size (MB), and subgroup metrics: per-group AUC gap and equalized odds (FPR/FNR differences). Statistical tests: McNemar exact test for paired reader–model comparisons; mixed-effects logistic regression with random intercepts for reader and site to account for clustering; pre-specify unit of analysis as lesion for primary detection endpoints with a sensitivity table of ICC inflation (perform sample-size sensitivity with ICC=0.01, 0.05, 0.1). Ablation studies: disable diffusion pretraining, remove clinical metadata, compare CORAL vs DANN vs contrastive alignment, and quantify performance drop. Reproducibility: fixed random seeds, containerized training, and run all final evaluations on held-out external cohorts (NLST/PLCO subsets, LIDC-IDRI, MosMed, COPDGene). Reader study: 30 radiologists, paired crossover design on 200–300 cases (≥100 positives), measure change in sensitivity, time-to-decision, and concordance with model explanations. Hardware and training budget: report A100 GPU-hours used; target pretraining estimate 2k–5k A100 hours. Acceptance criteria: diffusion+metadata model must show statistically significant higher sensitivity (two-sided p&lt;0.05) and higher Dice than best baseline on primary held-out cohort.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High compute cost: pretraining on tens of thousands of 3D CTs requires large GPU budgets and storage. Data bias: multi-center collection may still underrepresent pediatric, minority, or rare-pathology cases, limiting generalization. Unit-of-analysis complexity: multiple lesions per patient create clustering that inflates effective sample size if not handled correctly. Privacy and federation: differential privacy may reduce utility; heterogeneous site data complicates privacy accounting. Domain shift: unseen scanner models, kernels, or contrast phases can degrade performance despite domain-adaptation. Interpretability limits: attention or heatmaps may not align with clinician reasoning. Regulatory evidence: translation to clinical claims requires prospective trials beyond retrospective evaluation. Compression trade-offs: quantization and pruning may reduce accuracy at clinically meaningful operating points (e.g., FROC at target FP/scan). Evaluation bias: available public datasets have different labeling standards; ground truth (pathology vs radiology follow-up) varies across cohorts.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