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personalized_nutrition_remote_rct</w:t>
      </w:r>
    </w:p>
    <w:p>
      <w:r>
        <w:t xml:space="preserve"> </w:t>
      </w:r>
    </w:p>
    <w:p>
      <w:pPr>
        <w:pStyle w:val="Heading2"/>
      </w:pPr>
      <w:r>
        <w:t>Title</w:t>
      </w:r>
    </w:p>
    <w:p>
      <w:r>
        <w:t>A remote randomized controlled trial evaluating digital personalized nutrition interventions to reduce body weight in adults with overweight or obesity</w:t>
      </w:r>
    </w:p>
    <w:p>
      <w:r>
        <w:t xml:space="preserve"> </w:t>
      </w:r>
    </w:p>
    <w:p>
      <w:pPr>
        <w:pStyle w:val="Heading2"/>
      </w:pPr>
      <w:r>
        <w:t>Short Hypothesis</w:t>
      </w:r>
    </w:p>
    <w:p>
      <w:r>
        <w:t>Adults with overweight or obesity who receive algorithm-driven personalized nutrition advice will have greater mean absolute weight loss at 12 months than those who receive generic nutrition advice.</w:t>
      </w:r>
    </w:p>
    <w:p>
      <w:r>
        <w:t xml:space="preserve"> </w:t>
      </w:r>
    </w:p>
    <w:p>
      <w:pPr>
        <w:pStyle w:val="Heading2"/>
      </w:pPr>
      <w:r>
        <w:t>Related Work</w:t>
      </w:r>
    </w:p>
    <w:p>
      <w:r>
        <w:t>Digital weight-loss programs and mobile health interventions have shown modest average effects but mixed long-term adherence; many trials combined coaching, apps, and connected scales. Personalized nutrition approaches (algorithms using phenotypes, diet, or glucose patterns) report improved intermediate markers in some cohorts but lack large randomized evidence for sustained weight change. Wearables and continuous glucose monitoring (CGM) have been used to tailor feedback but are rarely tested in fully remote randomized trials. Self-collected biosamples (dried blood spots, DBS) and do-it-yourself anthropometrics (home scales, self-measured waist with photos) have been validated in small studies but show variable bias and data loss. Limitations across prior work include incomplete validation of home measurements, limited diversity and subgroup fairness assessments, small or hybrid (not fully remote) trial designs, inconsistent handling of missing data and intercurrent events, and scarce operational SOPs for remote safety escalation and assay QC.</w:t>
      </w:r>
    </w:p>
    <w:p>
      <w:r>
        <w:t xml:space="preserve"> </w:t>
      </w:r>
    </w:p>
    <w:p>
      <w:pPr>
        <w:pStyle w:val="Heading2"/>
      </w:pPr>
      <w:r>
        <w:t>Abstract</w:t>
      </w:r>
    </w:p>
    <w:p>
      <w:r>
        <w:t>We address whether a fully remote digital-first randomized controlled trial (RCT) can deliver personalized nutrition and detect meaningful weight change using participant-collected data. We propose a three-arm, fully online RCT comparing (1) generic web-based nutrition advice, (2) algorithm-driven personalized nutrition delivered via app and coaching, and (3) personalized nutrition plus curated personalized food boxes. Primary contribution is an operational feasibility and effectiveness evaluation: feasibility of do-it-yourself anthropometrics and biospecimen collection, validity of self-measured outcomes, and whether personalization increases 12-month weight loss. The study tests remote safety workflows, assay QC for DBS and mobile phlebotomy, CGM sub-study integration, and algorithm fairness/drift monitoring. Expected outcome is evidence on whether remote personalized nutrition can be implemented at scale with reliable self-collected measures and measurable improvements in weight compared to generic advice.</w:t>
      </w:r>
    </w:p>
    <w:p>
      <w:r>
        <w:t xml:space="preserve"> </w:t>
      </w:r>
    </w:p>
    <w:p>
      <w:pPr>
        <w:pStyle w:val="Heading2"/>
      </w:pPr>
      <w:r>
        <w:t>Experiments</w:t>
      </w:r>
    </w:p>
    <w:p>
      <w:r>
        <w:t>Design: three-arm, parallel-group RCT with 1:1:1 allocation. Arms: A) generic nutrition advice; B) personalized algorithmic advice; C) personalized advice + personalized food box. Randomization: central computer randomization stratified by baseline BMI class (&lt;35, ≥35 kg/m2) and sex, permuted blocks (variable block sizes 6 and 9), allocation concealed by system. Populations: pilot feasibility N=20-40; model development cohort pooled N=150-200 (may include historical de-identified data); held-out validation N=100; full trial target N=240 (120 per arm after rounding; total 360 if three arms balanced and attrition expected 20%—see sample-size calc below). Sample-size: to detect 3.0 kg between-group difference with SD=6.0 kg at 90% power and two-sided alpha=0.05, require ≈85 participants/arm; inflate to 120/arm for 20–25% attrition (report exact table in SAP). Primary outcome: absolute weight change (kg) at 12 months analyzed under intention-to-treat (ITT). ITT means analyze all randomized participants in assigned arms regardless of adherence. Primary analysis model: mixed-effects model for repeated measures (MMRM) with fixed effects for treatment arm, visit (categorical), treatment×visit, baseline weight (continuous) and stratification factors; random intercept for participant; unstructured covariance matrix if estimable. Explain MMRM: a model that uses all observed repeated measures and accounts for correlation across time. Missing data strategy: primary MMRM assumes data missing at random (MAR). Complementary methods: multiple imputation by chained equations (MI; explains: fills missing values many times using observed data), pattern-mixture delta adjustments (varying assumed departures up to ±3.0 kg in 0.5 kg steps), and selection-model sensitivity (models probability of missingness conditional on outcomes). Multiplicity and testing: hierarchical testing sequence: primary 12-month weight change, then binary ≥5% loss, then waist change, then key metabolic markers; if hierarchy fails apply Holm correction. Baseline and secondary metrics: waist circumference (cm), percent achieving ≥5% weight loss, HbA1c (from DBS/venous), fasting lipids, CGM metrics (time-in-range, mean glucose, glucose variability) for CGM sub-study. CGM sub-study: device wear 14 days at baseline and 3 months; inclusion if ≥70% wear time. Validation experiments: 1) measurement validity substudy N≥100 with paired home vs certified mobile phlebotomy/clinic measures for weight, waist, DBS vs venous assays to estimate bias and regression correction; 2) ablation comparing personalized vs personalized+food-box to quantify marginal effect of food boxes; 3) per-protocol vs ITT analysis to assess adherence effect. Algorithm evaluation: offline cross-validation within development set, then prospective held-out validation; fairness metrics reported by subgroup (race/ethnicity, age, rurality, sex). Evaluation metrics: mean difference in weight (kg) with 95% CI and p-value; proportion ≥5% loss (risk difference); root-mean-square error (RMSE) for measurement bias; AUROC/AUPRC for predictive components; calibration slope and calibration-in-the-large; engagement metrics: weekly scale sync rate (% participants with ≥1 sync/week), median app active days/week. Drift/fairness monitoring: daily/weekly pipelines compute AUROC, AUPRC, calibration-in-the-large by subgroup, KS tests on key predictors (age, baseline weight, diet score, HOMA-IR when available); pre-specified triggers (absolute AUROC drop &gt;0.05 with DeLong p&lt;0.01) lead to retraining workflow. Safety monitoring: automated alerts for rapid weight loss (&gt;2.0 kg/week or &gt;10% in 6 months), electrolyte/lab thresholds; SAE logs. Statistical software and reproducibility: preregister SAP; analysis code in version-controlled repo; synthetic dataset and analysis notebook released with manuscript.</w:t>
      </w:r>
    </w:p>
    <w:p>
      <w:r>
        <w:t xml:space="preserve"> </w:t>
      </w:r>
    </w:p>
    <w:p>
      <w:pPr>
        <w:pStyle w:val="Heading2"/>
      </w:pPr>
      <w:r>
        <w:t>Risk Factors And Limitations</w:t>
      </w:r>
    </w:p>
    <w:p>
      <w:r>
        <w:t>Self-measurement error: home scales, waist self-measurement, and photo-based measures may be biased or inconsistent, reducing accuracy. Missing data and nonrandom attrition: participants who drop out may differ systematically (MNAR), which can bias estimates even after sensitivity analyses. Algorithmic bias and low subgroup size: small sample sizes in some demographic groups limit fairness assessment and can lead to unreliable algorithm performance for those subgroups. Adherence and engagement: low app use, missed CGM/DBS collections, or scale non-sync reduce power and threaten validity. Assay and device failures: DBS or CGM technical failures and shipping delays may create data loss or measurement error. Privacy and regulatory constraints: cross-jurisdictional recruitment can complicate consent and data sharing. Generalizability: results from volunteers in a remote digital trial may not extend to populations without internet or to children. Compute and operational limits: real-time monitoring, retraining, and human-in-the-loop review require engineering and staff capacity that may not scale without resources. Safety detection limits: remote monitoring may miss clinical events that would be captured in-person.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