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gbschrom_spectro_poct</w:t>
      </w:r>
    </w:p>
    <w:p>
      <w:r>
        <w:t xml:space="preserve"> </w:t>
      </w:r>
    </w:p>
    <w:p>
      <w:pPr>
        <w:pStyle w:val="Heading2"/>
      </w:pPr>
      <w:r>
        <w:t>Title</w:t>
      </w:r>
    </w:p>
    <w:p>
      <w:r>
        <w:t>Quantitative absorption-spectroscopy readout of chromogenic culture media for rapid point-of-care identification of Group B Streptococcus colonization</w:t>
      </w:r>
    </w:p>
    <w:p>
      <w:r>
        <w:t xml:space="preserve"> </w:t>
      </w:r>
    </w:p>
    <w:p>
      <w:pPr>
        <w:pStyle w:val="Heading2"/>
      </w:pPr>
      <w:r>
        <w:t>Short Hypothesis</w:t>
      </w:r>
    </w:p>
    <w:p>
      <w:r>
        <w:t>Converting measured light absorption of chromogenic culture pigment into a computed concentration variable will detect Group B Streptococcus colonization in rectovaginal specimens with sensitivity ≥95% and specificity ≥98% relative to a composite reference.</w:t>
      </w:r>
    </w:p>
    <w:p>
      <w:r>
        <w:t xml:space="preserve"> </w:t>
      </w:r>
    </w:p>
    <w:p>
      <w:pPr>
        <w:pStyle w:val="Heading2"/>
      </w:pPr>
      <w:r>
        <w:t>Related Work</w:t>
      </w:r>
    </w:p>
    <w:p>
      <w:r>
        <w:t>Existing approaches for GBS detection include: (1) culture with enrichment broth (slow, 18–48 hours) and visual reading of chromogenic plates (simple but subjective and low quantitative precision); (2) nucleic acid amplification tests (NAAT/PCR) targeting loci such as cfb and sip (high sensitivity and specificity but require instrumentation, cost, and centralized labs); (3) antigen lateral-flow assays (rapid and instrument-free but generally lower sensitivity and variable cross-reactivity); and (4) limited optical or spectroscopic methods used in microbiology for species ID or growth monitoring (mostly research prototypes, not standardized for chromogenic pigment quantification). Major limitations are slow turnaround or subjectivity for culture, cost and infrastructure needs for NAAT, poor sensitivity for many antigen tests, and the absence of validated methods that quantitatively translate chromogenic pigment intensity into organism concentration. Cross-reactivity with near-neighbors, matrix interference (blood, fecal material, antiseptics), and lack of regulatory-grade validation datasets remain unresolved across methods.</w:t>
      </w:r>
    </w:p>
    <w:p>
      <w:r>
        <w:t xml:space="preserve"> </w:t>
      </w:r>
    </w:p>
    <w:p>
      <w:pPr>
        <w:pStyle w:val="Heading2"/>
      </w:pPr>
      <w:r>
        <w:t>Abstract</w:t>
      </w:r>
    </w:p>
    <w:p>
      <w:r>
        <w:t>We address the need for a rapid, low-cost point-of-care test for Group B Streptococcus (GBS) colonization by quantitatively reading chromogenic culture pigment using specific absorption spectroscopy. The method grows a swab on chromogenic media for a short incubation, measures pigment absorbance at defined wavelengths (absorption spectroscopy = measuring how much light the pigment blocks), converts optical signals into an electrical readout, and computes a concentration variable that maps to colony-forming units per milliliter (CFU/mL). The main contribution is a reproducible calibration and signal-processing pipeline that translates pigment absorption into a numeric GBS concentration, enabling binary colonization calls and prevalence-adjusted predictive values at bedside. Expected outcomes are a 20–30 minute time-to-result from start of instrument read, analytical limit of detection ≤100 CFU/mL (target 10–50 CFU/mL), and clinical sensitivity and specificity consistent with antenatal and intrapartum screening needs. This approach aims to combine the low-cost simplicity of chromogenic culture with objective, quantitative optical readout suitable for decentralized screening.</w:t>
      </w:r>
    </w:p>
    <w:p>
      <w:r>
        <w:t xml:space="preserve"> </w:t>
      </w:r>
    </w:p>
    <w:p>
      <w:pPr>
        <w:pStyle w:val="Heading2"/>
      </w:pPr>
      <w:r>
        <w:t>Experiments</w:t>
      </w:r>
    </w:p>
    <w:p>
      <w:r>
        <w:t>Datasets and samples: Collect paired rectovaginal swabs from pregnant participants in two strata: antenatal (35–37 weeks, target N≈1,320) and intrapartum (in labor, target N≈1,980), total N≈3,300 across 8 sites. Enroll ≥200 participants with documented antibiotic exposure for subgroup analysis. Split each participant into three paired tests: (A) chromogenic culture with spectroscopic read (proposed method), (B) enrichment culture (Todd-Hewitt/LIM) plus plate read, and (C) dual-target PCR (cfb and sip) with sequencing for adjudication. Include a bridging pilot n≈300 for antigen LFA head-to-head. Baselines: enrichment culture (reference), dual-target PCR (orthogonal molecular), and a commercial NAAT and antigen LFA where available. Analytical LOD study: prepare standardized GBS dilutions in pooled clinical matrix at 10, 50, 100, 500, 1000 CFU/mL. For each concentration run ≥20 replicates across three independent lots, three operators, and three days; confirm claimed LOD with expanded 60-replicate verification. Cross-reactivity / interference panel: S. dysgalactiae, S. pneumoniae, Enterococcus spp., Lactococcus spp., common vaginal flora, blood (up to 5% v/v), fecal contamination, povidone-iodine, chlorhexidine, and viscous samples. Stability tests: real-time at 0,3,6,12,18,24 months and accelerated (6 months at 30–40°C, 3 months at 50°C). Evaluation metrics: sensitivity, specificity (separate for antenatal and intrapartum), 95% confidence intervals, positive/negative predictive values at prevalence strata, LOD (CFU/mL), invalid/run-failure rate, time-to-result, lot-to-lot coefficient of variation (CV) for computed concentration, signal-to-noise ratio (SNR). Statistical analysis: primary comparison versus composite reference (enrichment culture OR PCR-positive on ≥2 targets confirmed by sequencing). Use hierarchical logistic regression and Bayesian latent-class models (latent-class = statistical model estimating true status when no perfect gold standard) to account for imperfect references and site clustering; report posterior summaries. Blinding and setup: operators performing spectroscopic reads blinded to culture/PCR results; randomized processing order; repeated measures for within-sample technical replicates. Ablation studies: (1) wavelength selection: compare full-spectrum deconvolution versus single-wavelength absorbance; (2) signal processing: compare linear calibration, nonlinear regression (e.g., log-linear), and machine-learning regression for CFU mapping; (3) thresholding: vary colonization cutoffs and report ROC curves and calibration; (4) matrix effects: run assays with and without added blood/antiseptic; (5) production variability: compare three manufacturing lots for systematic bias. Decision rules: pre-specify thresholds for clinical call that meet sensitivity/specificity targets; sequence any discordant results (culture+/PCR−, culture−/PCR+, single-target PCR+) and include sequencing adjudication in final analysis.</w:t>
      </w:r>
    </w:p>
    <w:p>
      <w:r>
        <w:t xml:space="preserve"> </w:t>
      </w:r>
    </w:p>
    <w:p>
      <w:pPr>
        <w:pStyle w:val="Heading2"/>
      </w:pPr>
      <w:r>
        <w:t>Risk Factors And Limitations</w:t>
      </w:r>
    </w:p>
    <w:p>
      <w:r>
        <w:t>Technical failure modes: low or variable pigment production by some GBS strains or serotypes may reduce absorption signal; overlapping absorbance from non-GBS species or sample contaminants can cause false positives; optical path fouling (debris, bubbles) can distort absorbance. Data and evaluation biases: cohort prevalence differences across sites may affect PPV/NPV; antibiotic exposure may lower viable CFU and change pigment signal causing false negatives. Scalability and manufacturing: lot-to-lot reagent variability, reader calibration drift, and environmental effects (temperature, humidity) on optics can limit reproducibility. Limits to generalization: method depends on enzymatic pigment production and short incubation; strains that do not produce chromogenic signal or mixed infections may be misclassified. Regulatory and clinical risk: residual uncertainty from imperfect reference standards may complicate claims; false positives could lead to unnecessary intrapartum antibiotics, and false negatives could miss prophylaxis need. Computational limits: spectral deconvolution and regression models may overfit to training lots and not generalize to new batches. Time constraints: achieving LOD targets (10–50 CFU/mL) may be technically challenging and may require trade-offs between incubation time and rapid result delivery.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