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southern_africa_tin_provenance_isotopes</w:t>
      </w:r>
    </w:p>
    <w:p>
      <w:r>
        <w:t xml:space="preserve"> </w:t>
      </w:r>
    </w:p>
    <w:p>
      <w:pPr>
        <w:pStyle w:val="Heading2"/>
      </w:pPr>
      <w:r>
        <w:t>Title</w:t>
      </w:r>
    </w:p>
    <w:p>
      <w:r>
        <w:t>Integrating lead and tin isotopes with trace-element chemistry to identify tin sources in southern African bronzes, ca. 1200–1800 CE</w:t>
      </w:r>
    </w:p>
    <w:p>
      <w:r>
        <w:t xml:space="preserve"> </w:t>
      </w:r>
    </w:p>
    <w:p>
      <w:pPr>
        <w:pStyle w:val="Heading2"/>
      </w:pPr>
      <w:r>
        <w:t>Short Hypothesis</w:t>
      </w:r>
    </w:p>
    <w:p>
      <w:r>
        <w:t>Combining lead isotope ratios, tin isotope ratios, and trace-element concentrations in a joint Bayesian mixture model will allow correct identification of a bronze object's dominant tin source with posterior probability ≥0.80 under conditions of ore-field baselines ≥15 samples and analytical uncertainties at or below pre-registered σ thresholds.</w:t>
      </w:r>
    </w:p>
    <w:p>
      <w:r>
        <w:t xml:space="preserve"> </w:t>
      </w:r>
    </w:p>
    <w:p>
      <w:pPr>
        <w:pStyle w:val="Heading2"/>
      </w:pPr>
      <w:r>
        <w:t>Related Work</w:t>
      </w:r>
    </w:p>
    <w:p>
      <w:r>
        <w:t>Existing provenance studies commonly use lead isotopes alone, trace-element fingerprints alone, or emerging tin isotope measurements to infer metal sources. Prior approaches often treat proxies independently (separate univariate models), rely on sparse ore-field baselines, or fail to propagate measurement uncertainty and corrosion effects fully. Lithogeochemical studies frequently do not model multivariate covariance among isotope ratios and elements, reducing discrimination when baselines overlap. Tin isotope work is recent and faces challenges from limited inter-lab calibration, isobaric interferences, and uncertain metallurgical fractionation. Laser-ablation (LA) data are often used qualitatively and are rarely integrated probabilistically with solution data. Inter-lab bias, inconsistent QA/QC, and inadequate treatment of censored (below-detection) data remain unresolved. These limitations reduce reproducibility and increase false attributions when applied to complex archaeological bronzes.</w:t>
      </w:r>
    </w:p>
    <w:p>
      <w:r>
        <w:t xml:space="preserve"> </w:t>
      </w:r>
    </w:p>
    <w:p>
      <w:pPr>
        <w:pStyle w:val="Heading2"/>
      </w:pPr>
      <w:r>
        <w:t>Abstract</w:t>
      </w:r>
    </w:p>
    <w:p>
      <w:r>
        <w:t>We address the problem of identifying geographic sources of tin in southern African bronze artefacts (1200–1800 CE) by jointly using lead isotopes, tin isotopes, and trace-element chemistry. The proposed approach builds a hierarchical Bayesian mixture model that integrates multivariate ore-field baselines, artifact-level mixing proportions, measurement-error terms, and explicit treatment of censored and lower-precision LA data. We combine a systematic laboratory SOP (mass targets, blank limits, bracketing standards) with Monte Carlo power simulations and mixture-recovery tests to quantify identifiability under realistic baseline overlap, analytical uncertainty, and metallurgical fractionation. Main contributions are: (1) a multivariate probabilistic provenance model that preserves covariance among proxies, (2) pre-registered attribution decision rules with simulation-backed error rates, and (3) a reproducible QA/QA and inter-lab blind-test workflow. Expected outcomes are probabilistic source attributions with quantified uncertainty, diagnostics for recycling versus simple mixing, and open datasets and code to support transparent archaeological interpretation.</w:t>
      </w:r>
    </w:p>
    <w:p>
      <w:r>
        <w:t xml:space="preserve"> </w:t>
      </w:r>
    </w:p>
    <w:p>
      <w:pPr>
        <w:pStyle w:val="Heading2"/>
      </w:pPr>
      <w:r>
        <w:t>Experiments</w:t>
      </w:r>
    </w:p>
    <w:p>
      <w:r>
        <w:t>Datasets: (a) Archaeological set: 153 tin or bronze artefacts (primary dataset) plus ~50 contextual samples (slag, ingot, crucible). (b) Ore baselines: aim ≥15 samples per candidate ore-field; prefer 20–30 for heterogeneous fields. (c) Inter-lab blind subset: 10–15 archived samples. Analytical constraints: require bulk microdrill 5–15 mg where possible; Sn ≥200 ng post-chemistry for solution MC-ICP-MS; Pb ≥5 ng for TIMS/MC-ICP-MS; LA-MC-ICP-MS used for low-yield cases. Baseline uncertainties: pre-registered σmin: Sn isotopes 0.30‰ (delta notation), Pb ratios 0.005 (absolute ratio units). Baselines include full multivariate covariance matrices for Pb ratios, Sn isotopes, and log-transformed trace elements. Baselines with n&lt;15 use regularized covariance estimation (shrinkage toward diagonal) and inflation of σ by 1.5–2× where n&lt;10. Models and baselines will be archived. Baselines for comparison (methods): M1 Pb-only model; M2 Sn-only model; M3 independent-proxy joint model (no covariance); M4 proposed multivariate joint model with covariance and fractionation priors. Simulation design: Monte Carlo runs 1,000–5,000 iterations per scenario varying (i) baseline overlap (low/medium/high), (ii) number of true sources per artefact (single, two-source, multi-source), (iii) fractionation magnitude (0.0–0.7‰), and (iv) measurement error (±analytical σ range). Mixture-recovery tests: plant known mixtures (synthetic and physical) to assess mixing-proportion recovery. Ablation studies: remove Sn fractionation prior; remove trace elements; treat LA data as substitutional LOD versus left-censored likelihood. Evaluation metrics: adjusted Rand index (cluster recovery), RMSE and bias for mixing-proportion estimates, posterior coverage probability (credible-interval calibration), false-positive and false-negative rates for dominant-source attribution under rule (posterior ≥0.80 and 95% CI lower bound &gt;0.50), proportion of ambiguous classifications (CI width&gt;0.60), and computational diagnostics (ESS, Rhat). Model fitting: use Hamiltonian Monte Carlo in Stan (or equivalent) with 4 chains, 2,000 warmup and 2,000 sampling iterations per chain (adjust as needed), target ESS&gt;400 per parameter and Rhat&lt;1.01. Cross-validation: k-fold (k=5) and leave-one-out (LOO) predictive checks. Inter-lab blind test: compare measured offsets and apply hierarchical lab-bias terms; report inter-lab reproducibility. Outputs: confusion matrices, sensitivity plots, maps of probabilistic source contributions, and archived code/data with DOIs.</w:t>
      </w:r>
    </w:p>
    <w:p>
      <w:r>
        <w:t xml:space="preserve"> </w:t>
      </w:r>
    </w:p>
    <w:p>
      <w:pPr>
        <w:pStyle w:val="Heading2"/>
      </w:pPr>
      <w:r>
        <w:t>Risk Factors And Limitations</w:t>
      </w:r>
    </w:p>
    <w:p>
      <w:r>
        <w:t>Low analyte yields: many small or highly corroded artefacts may fail Sn/Pb mass thresholds, reducing usable sample count. Baseline completeness: incomplete ore-field sampling or undersampled sources (n&lt;15) will inflate priors and reduce identifiability. Baseline overlap: geochemically similar sources limit discrimination even with multivariate models. Sn fractionation: unanticipated metallurgical fractionation larger than priors will bias attributions. LA data limits: laser-ablation measurements have lower precision and may introduce spatial heterogeneity that complicates aggregation. Inter-lab bias: persistent lab offsets or calibration gaps can create systematic errors. Censored data complexity: left-censored and semi-quantitative data increase model complexity and computation time. Computational cost: hierarchical multivariate Bayesian models with many parameters require substantial compute and careful convergence checks. Ethical and logistical: permit delays, collection access, or community objections can restrict sampling and baseline building. Generalization limits: methods and priors tuned to southern Africa and 1200–1800 CE may not transfer directly to other regions or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