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reassess_composite_bow_eurasia</w:t>
      </w:r>
    </w:p>
    <w:p>
      <w:r>
        <w:t xml:space="preserve"> </w:t>
      </w:r>
    </w:p>
    <w:p>
      <w:pPr>
        <w:pStyle w:val="Heading2"/>
      </w:pPr>
      <w:r>
        <w:t>Title</w:t>
      </w:r>
    </w:p>
    <w:p>
      <w:r>
        <w:t>Integrating iconographic, microstructural, biomolecular, radiocarbon, and genetic evidence to reassess the origins and identification of full composite bows in ancient Eurasia</w:t>
      </w:r>
    </w:p>
    <w:p>
      <w:r>
        <w:t xml:space="preserve"> </w:t>
      </w:r>
    </w:p>
    <w:p>
      <w:pPr>
        <w:pStyle w:val="Heading2"/>
      </w:pPr>
      <w:r>
        <w:t>Short Hypothesis</w:t>
      </w:r>
    </w:p>
    <w:p>
      <w:r>
        <w:t>If an archaeological object is a true full composite bow (horn–wood–sinew laminated construction), then it will show discrete laminated interfaces in high-resolution imaging and independent molecular signatures for at least two constituent materials plus adhesive chemistry, and these signatures will yield radiocarbon ages concordant with associated contextual dating; absence of these linked signatures indicates non-composite manufacture or later repair.</w:t>
      </w:r>
    </w:p>
    <w:p>
      <w:r>
        <w:t xml:space="preserve"> </w:t>
      </w:r>
    </w:p>
    <w:p>
      <w:pPr>
        <w:pStyle w:val="Heading2"/>
      </w:pPr>
      <w:r>
        <w:t>Related Work</w:t>
      </w:r>
    </w:p>
    <w:p>
      <w:r>
        <w:t>Prior work divides into three strands: iconographic analysis (images of archery and bows used to infer presence and form of composite bows), material studies of individual artifacts (micrography, SEM, CT scans, occasional GC‑MS or ZooMS), and isolated molecular or radiocarbon studies on single components. Cultural phylogenetic and genetic studies have suggested population movements that may relate to technology spread. Limitations across these approaches include inconsistent definitions of 'composite bow', reliance on iconography without material confirmation, sparse or non-standardized molecular sampling, lack of paired imaging and sampling metadata, small and biased samples, no formal inter-lab calibration, and weak integration of dating, material and genetic lines of evidence. These gaps produce uncertain attribution, potential circular reasoning, and limited reproducibility.</w:t>
      </w:r>
    </w:p>
    <w:p>
      <w:r>
        <w:t xml:space="preserve"> </w:t>
      </w:r>
    </w:p>
    <w:p>
      <w:pPr>
        <w:pStyle w:val="Heading2"/>
      </w:pPr>
      <w:r>
        <w:t>Abstract</w:t>
      </w:r>
    </w:p>
    <w:p>
      <w:r>
        <w:t>The project reassesses claims for the early presence and spread of full composite bows (horn–wood–sinew laminates) across ancient Eurasia by integrating iconography, standardized high-resolution imaging, molecular analyses, radiocarbon chronology, and genetic context. We propose a validation framework that requires both microstructural evidence (discrete laminated interfaces visible in micro-CT/SEM) and molecular confirmation (independent species IDs for at least two layers and adhesive chemistry) plus secure contextual dating. Main contributions are: (1) a reproducible diagnostic decision rule set; (2) a blinded inter-laboratory validation on a pilot (≈60) and full (120–160) specimen panel; and (3) an integrated dataset linking material signatures to cultural and genetic data. Expected outcomes are clearer criteria to accept or reject composite-bow attributions, quantified sensitivity and specificity for those criteria, and an open, documented protocol for future studies. This will reduce misclassification from iconography-only claims and improve chronological and cultural inferences.</w:t>
      </w:r>
    </w:p>
    <w:p>
      <w:r>
        <w:t xml:space="preserve"> </w:t>
      </w:r>
    </w:p>
    <w:p>
      <w:pPr>
        <w:pStyle w:val="Heading2"/>
      </w:pPr>
      <w:r>
        <w:t>Experiments</w:t>
      </w:r>
    </w:p>
    <w:p>
      <w:r>
        <w:t>Datasets: (A) Pilot blind panel: 60 specimens (20 confirmed modern references, 20 archaeological candidates previously claimed composite, 20 negatives/controls including single-piece bows, repaired items, synthetic mixes). (B) Full validation panel: 120–160 specimens scaled from pilot. (C) Modern reference library: horn/keratin, sinew/collagen, common wood taxa, animal glues, pine/resin, bitumen. (D) Genetic dataset: published ancient genome summaries for associated contexts. Baselines: (1) Iconography-only classification; (2) single-method material attribution (CT or proteomics alone). Evaluation metrics: sensitivity, specificity, ROC curve and AUC, 95% confidence intervals, Cohen’s kappa for inter-lab agreement, % successful species IDs, adhesive detection LOD (limit of detection) in mg, radiocarbon concordance score (absolute age difference median and IQR between component dates and contextual dates). Experimental setup: Imaging: micro-CT scans at voxel 10–30 µm (report scanner model and voxel); SEM at 100×–5,000× with SE/BSE detectors; photogrammetry 50+ images GSD 0.1–0.5 mm. Molecular: ZooMS (collagen fingerprinting) with minimum 0.5–3 mg input; LC‑MS/MS proteomics with PSM FDR ≤1% and ≥2 unique peptides preferred; GC‑MS/FTIR for adhesives, match score threshold ≥800/1000. Radiocarbon: AMS on wood/core (100–300 mg) and collagen-bearing sinew/bone (300–500 mg), with ABA and ultrafiltration pretreatment recorded. Blind protocol: labs receive randomized, anonymized vials and CT IDs; each lab returns raw spectra and processed calls. Ablation study: remove proteomics results to evaluate drop in specificity and sensitivity; remove imaging to evaluate drop in sensitivity. Statistical handling: pre-register decision rules, include an “inconclusive” category; report ROC, CIs, and confusion matrices. Inter-lab: round-robin schedule (pilot month 0–3, full validation month 4–12) with acceptance thresholds: sensitivity and specificity ≥0.85; labs failing thresholds flagged for corrective actions and repeat testing.</w:t>
      </w:r>
    </w:p>
    <w:p>
      <w:r>
        <w:t xml:space="preserve"> </w:t>
      </w:r>
    </w:p>
    <w:p>
      <w:pPr>
        <w:pStyle w:val="Heading2"/>
      </w:pPr>
      <w:r>
        <w:t>Risk Factors And Limitations</w:t>
      </w:r>
    </w:p>
    <w:p>
      <w:r>
        <w:t>Preservation bias: organic components may be degraded or absent, reducing molecular yields and imaging contrast. Small sample mass: adhesive or keratin &lt;20 mg may fall below lab detection limits for proteomics/GC‑MS/AMS. Contamination: modern keratin (human) or handling can create false positives. Taphonomy: chemical alteration, microbial films, or mineral infiltration can mimic laminations or alter adhesives. Legal/permitting: export and destructive sampling restrictions may reduce sample access and bias geography. Inter-lab variability: different instruments, pretreatments or analysts may introduce systematic bias. Resource limits: synchrotron/phase-contrast CT access and high-throughput AMS slots are constrained. Generalization: validated criteria may work for tested regions/contexts but not all Eurasian deposits or time periods. Statistical limits: ambiguous/inconclusive calls reduce effective sample size and may widen confidence intervals.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