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western_europe_pleistocene_dispersals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Integrating standardized multi-proxy Bayesian chronologies and spatial-demographic modeling to test causes of delayed hominin dispersal into western Europe during the early to middle Pleistocene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Lower habitat suitability in western Europe caused later hominin dispersal and smaller local effective population sizes than in contemporaneous Asian regions.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combine geochronology (OSL, ESR/U-series, Ar/Ar), biomolecular methods (palaeoproteomics, ZooMS), lithic refitting, micromorphology, and agent-based demographic models. Strengths: multiple independent proxies, high-resolution lithic provenience, and spatial modeling that links environment and movement. Weaknesses: inconsistent lab SOPs and metadata schemas; sparse inter-lab calibration and ring-tests; limited formal propagation of dating uncertainty into niche and demographic models; ad hoc sample-size choices without power analyses; dated ensembles often omitted or under-sampled; paleolandscape reconstructions use single GCM outputs without ensemble uncertainty. These gaps produce: incompatible datasets, overconfident timing estimates, unclear sensitivity to thresholds (e.g., refit-rate cutoffs), and weak cross-site comparability. No current pipeline fully integrates versioned SOPs, inter-lab calibration metrics, statistical sample-size design, explicit hierarchical Bayesian age models, and full uncertainty propagation into spatial-demographic inference.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why western Europe shows later and sparser early to middle Pleistocene hominin occupations than Asia. We propose an integrated, reproducible pipeline that (1) uses standardized, versioned SOPs and inter-lab ring-tests for geochronology and biomolecular assays; (2) builds hierarchical Bayesian age models per horizon and generates posterior age ensembles; (3) produces paleolandscape ensemble reconstructions (multiple GCMs, sea-level and isostasy scenarios); and (4) propagates age and environmental uncertainty into spatially explicit agent-based demographic simulations. The main contribution is a fully specified, testable workflow that links calibrated multi-proxy chronologies to demographic outcomes while reporting reproducibility metrics and power analyses. Expected outcome: quantified, testable statements about timing and magnitude of dispersals into western Europe, and an open set of SOPs, containerized code and example datasets enabling reproducible replication and cross-site comparison.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targeted horizons from five priority sites: Atapuerca, Schöningen, Boxgrove, Happisburgh, Orce. For each horizon record: minimum 200 lithic items with centimeter 3D provenience; collect 20–40 biomolecule-capable samples (teeth or bulk sediment) per horizon; obtain ≥3 independent geochronological dates per horizon using at least two methods (e.g., single-grain OSL + U-series/ESR or Ar/Ar where applicable). Baselines: (A) single-method dating and non-propagated age assignments; (B) existing published age models; (C) demographic models without age uncertainty. Pipeline: 1) run inter-lab ring-tests (blind replicates n=10 per method across labs) and report CV and bias; 2) build hierarchical Bayesian age models per stratigraphic sequence with explicit priors (method-specific truncated-Normal priors; hyperpriors for horizon reworking rates); produce N=10,000 posterior age draws per horizon. Note: truncated-Normal = normal distribution limited to plausible range. 3) generate paleolandscape ensembles from 3 GCMs, two downscaling methods, and three sea-level/isostasy scenarios producing temporal rasters at 1–5 kyr resolution. 4) translate rasters to habitat suitability maps and run agent-based demographic simulations (individual/group agents, birth/death/dispersal rules) for each posterior age draw; aggregate outputs into medians and 95% credible intervals. Evaluation metrics: median first-arrival date and 95% credible interval; effective population size (Ne) distributions; area-under-curve (AUC) for habitat suitability predictive fit (AUC = discrimination ability); RMSE between known-age validation sections and modeled age ensembles; inter-lab CV for dating and peptide concordance percent for proteomics; refit detection power (rate detected vs simulated true refit rate). Comparison/ablation studies: (I) full integrated pipeline vs baseline A and B; (II) full uncertainty propagation vs model runs using point ages (no propagation); (III) sample-size ablation for lithics (n=100, 200, 300) to show detection power for 1% refit (use n = log(1-0.95)/log(1-0.01) ≈ 299); (IV) biomolecule yield ablation (n=10, 29, 40) for p=0.1 recovery probability (n≈29 for 95% confidence). Convergence/diagnostics: require ESS&gt;200 (ESS = effective sample size, measure of MCMC sampling quality) and Gelman-Rubin R̂ &lt;1.1. Archive: containerized workflows with pinned dependencies and DOI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Diagenesis and preservation failure: low biomolecular yields or collagen loss will limit proteomic and isotopic analyses. Reworking and post-depositional mixing: stratigraphic disturbance can bias age models and refit interpretation. Dating method limits: OSL/ESR overdispersion, U-uptake model mis-specification, and Ar/Ar plateaus can inflate uncertainty. Inter-lab systematic bias: ring-tests may reveal persistent lab offsets requiring recalibration. Sample access and ethics: destructive-sampling limits or curatorial refusal reduce sample sizes. Computational load: running 10,000-age draws × ensemble paleolandscapes × agent-models is compute intensive and may limit iterations. Paleoclimate uncertainty: GCM downscaling and sea-level/isostasy choices may not capture local microhabitats, limiting transferability. Scalability: pipeline is resource-heavy and may not scale to many sites without additional funding. Generalization: results may be site- and region-specific and not fully generalize to all of western Europe or to different preservation regimes.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