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english_policy_misrecognition</w:t>
      </w:r>
    </w:p>
    <w:p>
      <w:r>
        <w:t xml:space="preserve"> </w:t>
      </w:r>
    </w:p>
    <w:p>
      <w:pPr>
        <w:pStyle w:val="Heading2"/>
      </w:pPr>
      <w:r>
        <w:t>Title</w:t>
      </w:r>
    </w:p>
    <w:p>
      <w:r>
        <w:t>Mixed-methods evaluation of how development-framed English-in-education policy produces classroom-level misrecognition in a low-SES Bangladeshi school using ethnography, coded observation indices, and quasi-experimental causal tests</w:t>
      </w:r>
    </w:p>
    <w:p>
      <w:r>
        <w:t xml:space="preserve"> </w:t>
      </w:r>
    </w:p>
    <w:p>
      <w:pPr>
        <w:pStyle w:val="Heading2"/>
      </w:pPr>
      <w:r>
        <w:t>Short Hypothesis</w:t>
      </w:r>
    </w:p>
    <w:p>
      <w:r>
        <w:t>Implementation of development-framed English-in-education policy increases classroom-level misrecognition of low-SES students, causing higher Deficit-Label Ratio (DLR) and lower Translanguaging Frequency Index (TFI) relative to comparable schools not subject to the same policy signals.</w:t>
      </w:r>
    </w:p>
    <w:p>
      <w:r>
        <w:t xml:space="preserve"> </w:t>
      </w:r>
    </w:p>
    <w:p>
      <w:pPr>
        <w:pStyle w:val="Heading2"/>
      </w:pPr>
      <w:r>
        <w:t>Related Work</w:t>
      </w:r>
    </w:p>
    <w:p>
      <w:r>
        <w:t>Three strands of prior work are directly relevant: (1) critical policy and governmentality analyses that map how development and human capital rationalities shape education policy but often stop at document-level discourse and do not link to classroom practices; (2) sociolinguistic and translanguaging studies that document classroom language practices and their benefits but frequently use small-scale qualitative samples without validated quantitative indices; (3) quantitative policy-evaluation literature using administrative panel data and difference-in-differences (DiD) estimators to estimate policy effects but often lacks mechanism validation and can mis-specify staggered timing. Limitations across these strands include: lack of validated, reliable classroom indices that operationalize misrecognition (many studies use ad-hoc codes); weak integration between qualitative mechanism evidence and causal estimates (few looped mixed-methods designs); and methodological risks in staggered DiD using standard two-way fixed effects that can bias estimates when timing varies. Few studies combine psychometrically validated observation rubrics, linkage-uncertainty propagation, pre-registered thresholds, and participatory governance.</w:t>
      </w:r>
    </w:p>
    <w:p>
      <w:r>
        <w:t xml:space="preserve"> </w:t>
      </w:r>
    </w:p>
    <w:p>
      <w:pPr>
        <w:pStyle w:val="Heading2"/>
      </w:pPr>
      <w:r>
        <w:t>Abstract</w:t>
      </w:r>
    </w:p>
    <w:p>
      <w:r>
        <w:t>This study tests whether English-in-education policy framed as development produces classroom-level misrecognition of low-socioeconomic-status (SES) students. We combine ethnographic fieldwork in a Bangladeshi low-SES school (interviews, focus groups, classroom recordings, documents), coded observation indices (Translanguaging Frequency Index, English-Only Material Index, Deficit-Label Ratio), and quasi-experimental causal tests on a linked school panel or simulated panel if linkage is unavailable. The main contribution is a reproducible, theory-informed pipeline that (1) operationalizes misrecognition with psychometrically validated indices, (2) propagates linkage and measurement uncertainty into inference, and (3) integrates genealogical discourse analysis with staggered DiD (modern estimators) and mediation tests to link policy rationalities to classroom mechanisms. Expected outcomes are validated indices (reliability targets: kappa≥0.70, ICC≥0.75, alpha≥0.70), credible causal estimates of policy effects on misrecognition, and a set of reproducible scripts and pre-registered assumptions to inform equitable language-in-education policy debate.</w:t>
      </w:r>
    </w:p>
    <w:p>
      <w:r>
        <w:t xml:space="preserve"> </w:t>
      </w:r>
    </w:p>
    <w:p>
      <w:pPr>
        <w:pStyle w:val="Heading2"/>
      </w:pPr>
      <w:r>
        <w:t>Experiments</w:t>
      </w:r>
    </w:p>
    <w:p>
      <w:r>
        <w:t>Datasets: (A) Ethnographic corpus from one focal Bangladeshi low-SES school: 10 teachers interviews, 6 focus groups with parents, 8 focus groups with students, 40 hours of classroom audio-video across terms, and school policy documents. (B) Pilot 2-site dataset with 30–50 coded classroom sessions per site for psychometrics. (C) Regional school panel (if available) or simulated panel calibrated to pilot variance components: target 1,500–3,000 EAL/low-SES pupils across 80–150 schools for causal power scenarios. Baselines: (i) descriptive null model (no policy effect), (ii) two-way fixed effects DiD (TWFE), (iii) Callaway &amp; Sant’Anna staggered DiD estimator, (iv) synthetic control for local reforms, (v) IV using exogenous roll-out timing or funding cutoffs where available. Evaluation metrics: Cohen's kappa for categorical codes (target ≥0.70), ICC for continuous scores (target ≥0.75), Cronbach's alpha for indices (target ≥0.70); effect sizes (Cohen's d), standardized regression coefficients, 95% confidence intervals, lead coefficients for parallel-trends checks, mediation indirect effect size (a*b) with CI, and root mean square error (RMSE) for prediction in auxiliary models. Experimental setup: 1) Codebook development and pre-registration on OSF: define TFI/EOMI/DLR item rules and thresholds. 2) Pilot coding: record 30–50 sessions per pilot site; double-code 25% for IRR; compute reliability and refine rubric. 3) Validation: triangulate indices with student self-reports and teacher logs in a validation subsample; run momentary sampling (ESM) with n≈60 students across two weeks to estimate short-term TFI variance (ESM = short surveys during the day). 4) Causal tests: apply Callaway &amp; Sant’Anna staggered DiD on panel (or run Monte Carlo on simulated panel) estimating policy effect on DLR and TFI; report lead coefficients and placebo tests. Compare results to TWFE and synthetic control. 5) Measurement and linkage uncertainty ablation: run analyses (A) without measurement error correction, (B) with attenuation correction using reliability estimates, (C) with multiple probabilistic linkage realizations pooled via multiple imputation. 6) Mediation: test whether change in TFI mediates policy→student outcome links using clustered SEM and bootstrapped CI for a*b. 7) Sensitivity grid: Monte Carlo simulations varying ICC (0.01–0.10), attrition (10–40%), and linkage error rates to report required N and power for d=0.25 and for indirect effects. Reproducibility: share versioned code, seeds, and container specification for simulations and estimation.</w:t>
      </w:r>
    </w:p>
    <w:p>
      <w:r>
        <w:t xml:space="preserve"> </w:t>
      </w:r>
    </w:p>
    <w:p>
      <w:pPr>
        <w:pStyle w:val="Heading2"/>
      </w:pPr>
      <w:r>
        <w:t>Risk Factors And Limitations</w:t>
      </w:r>
    </w:p>
    <w:p>
      <w:r>
        <w:t>Small-sample risk: single-school ethnography limits external generalizability. Linkage failure: regional or national administrative data may be inaccessible, reducing causal power. Measurement error: observer coding and self-reports may misclassify translanguaging or deficit language; attenuation may bias effects toward zero. Coder bias: positionality and normativity may reproduce deficit framings despite reflexive protocols. MNAR missingness: attrition or nonresponse can be non-random by subgroup, biasing estimates. Staggered DiD validity: violations of parallel trends or interference across units can invalidate causal claims. Simulation and causal inference compute cost: Monte Carlo grids and clustered SEM can be computationally intensive. Political sensitivity and uptake: findings that critique policy rationalities may face resistance in policy fora. Resource limits: ESM, external audits, and multiple linkage realizations require staff time and budget that may exceed project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