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social_cohesion_measurement_africa</w:t>
      </w:r>
    </w:p>
    <w:p>
      <w:r>
        <w:t xml:space="preserve"> </w:t>
      </w:r>
    </w:p>
    <w:p>
      <w:pPr>
        <w:pStyle w:val="Heading2"/>
      </w:pPr>
      <w:r>
        <w:t>Title</w:t>
      </w:r>
    </w:p>
    <w:p>
      <w:r>
        <w:t>Multi-source psychometric measurement of social cohesion in Africa using multilevel graded-response IRT and household/expert data</w:t>
      </w:r>
    </w:p>
    <w:p>
      <w:r>
        <w:t xml:space="preserve"> </w:t>
      </w:r>
    </w:p>
    <w:p>
      <w:pPr>
        <w:pStyle w:val="Heading2"/>
      </w:pPr>
      <w:r>
        <w:t>Short Hypothesis</w:t>
      </w:r>
    </w:p>
    <w:p>
      <w:r>
        <w:t>Calibrating household survey items and expert indicators with a multilevel graded-response IRT model will reduce between-group measurement bias (differential item functioning) and produce comparable latent social cohesion scores across African pilot sites.</w:t>
      </w:r>
    </w:p>
    <w:p>
      <w:r>
        <w:t xml:space="preserve"> </w:t>
      </w:r>
    </w:p>
    <w:p>
      <w:pPr>
        <w:pStyle w:val="Heading2"/>
      </w:pPr>
      <w:r>
        <w:t>Related Work</w:t>
      </w:r>
    </w:p>
    <w:p>
      <w:r>
        <w:t>Existing work on social cohesion measurement uses a mix of household surveys, expert assessments, and bespoke indices. Prior approaches often: (a) define cohesion broadly and inconsistently, (b) rely on simple additive or factor-score composites without adjusting for clustering or item-level bias, and (c) use single-site validations that do not test cross-group invariance. Psychometric methods applied previously include confirmatory factor analysis (CFA) and single-level item response theory (IRT). Multilevel IRT and Bayesian hierarchical models have been proposed more recently to handle clustered samples and small groups, but they are not yet widely used in African cohesion research. Methods to handle social-desirability and sensitive items (list experiments, randomized response) are available but are rarely integrated with scale calibration. Network measures of bridging ties exist, but public release is constrained by privacy risks and limited differential-privacy publishing solutions. Limitations across prior work include weak operational definitions, inadequate tests of measurement invariance across languages and groups, insufficient power calculations for DIF detection in clustered designs, and lack of standardized pipelines for privacy-preserving network releases.</w:t>
      </w:r>
    </w:p>
    <w:p>
      <w:r>
        <w:t xml:space="preserve"> </w:t>
      </w:r>
    </w:p>
    <w:p>
      <w:pPr>
        <w:pStyle w:val="Heading2"/>
      </w:pPr>
      <w:r>
        <w:t>Abstract</w:t>
      </w:r>
    </w:p>
    <w:p>
      <w:r>
        <w:t>We address the problem of measuring social cohesion in African contexts with an operational definition composed of three attributes: inclusive identity, trust, and cooperation, each varying along horizontal (between citizens) and vertical (citizen–authority) axes. We propose a multi-source psychometric strategy that calibrates household survey items and expert indicators using multilevel graded-response item response theory (IRT) and multilevel confirmatory factor analysis (CFA). The main contribution is a reproducible pipeline: seeded simulations to set sample-size and cluster targets, a core item bank with cognitive-test protocols, methods to detect and report differential item functioning (DIF), and rules for privacy-preserving network data release. Expected outcomes are (1) validated latent cohesion scores comparable across pilot sites, (2) decision rules for sample allocation and measurement invariance, and (3) open-source code and preregistered analyses to guide broader adoption. Graded-response IRT means an IRT model for ordered response categories; multilevel means the model accounts for clustering (e.g., communities).</w:t>
      </w:r>
    </w:p>
    <w:p>
      <w:r>
        <w:t xml:space="preserve"> </w:t>
      </w:r>
    </w:p>
    <w:p>
      <w:pPr>
        <w:pStyle w:val="Heading2"/>
      </w:pPr>
      <w:r>
        <w:t>Experiments</w:t>
      </w:r>
    </w:p>
    <w:p>
      <w:r>
        <w:t>Datasets: (1) Afrobarometer household modules from selected countries and rounds; (2) V-Dem expert indicators matched to the same countries; (3) three-site pilot household data (target N≈800 per site, clustered: 32 clusters × ~25 respondents); (4) pilot behavioral experiment outcomes (trust/public-good games) and network egonets (anonymized). Baselines: (A) simple additive scale per dimension, (B) single-level CFA factor scores, (C) IRT without multilevel calibration. Models and comparisons: (1) Multilevel graded-response IRT (Bayesian hierarchical GRM via Stan/brms) vs (2) multilevel CFA with WLSMV (lavaan) vs (3) single-level IRT/CFA baselines. Simulation study: 1,000 replications per scenario; item bank sizes {6,8,10} items/dimension; response categories = 4; discrimination a ~ Normal(1.0,0.3); thresholds uniform on [-2,2]; DIF effect sizes d={0.2,0.3}; ICCs={0.03,0.08,0.12}; clusters J={20,32,50}; within-cluster m={20,25,30}; missingness MAR={5%,10%,15%}. Evaluation metrics: reliability omega (&gt;0.70), CFA fit (RMSEA, CFI, TLI, SRMR), IRT discrimination and item information, DIF detection power (proportion of replications detecting true DIF at alpha=0.05), effect-size of residual between-group bias (Cohen's d), correlation of latent scores with behavioral outcomes (predictive validity), and changes in group-mean estimates pre/post alignment (bias reduction). Ablations and mode comparisons: (a) remove network module; (b) compare social-desirability modes: direct vs list experiment vs randomized response vs anchoring vignettes in 4 equal randomized subsamples; (c) run analyses with and without V-Dem anchors. Privacy experiments: simulate differential-privacy (DP) release for aggregates with epsilon values {0.5,1,2} and report trade-offs: mean absolute error of aggregates and disclosure-risk metrics. Deliverables: seeded simulation code with README, power curves, decision tables for cluster vs within-cluster allocation, preregistered analysis scripts, and comparison tables across all baselines and ablations.</w:t>
      </w:r>
    </w:p>
    <w:p>
      <w:r>
        <w:t xml:space="preserve"> </w:t>
      </w:r>
    </w:p>
    <w:p>
      <w:pPr>
        <w:pStyle w:val="Heading2"/>
      </w:pPr>
      <w:r>
        <w:t>Risk Factors And Limitations</w:t>
      </w:r>
    </w:p>
    <w:p>
      <w:r>
        <w:t>Technical: Bayesian hierarchical models may fail to converge for very small groups (low effective sample); diagnostic thresholds (R-hat, ESS) may force item removal or pooling that reduces local validity. Data biases: nonresponse and missingness that are not missing at random (MNAR) can bias latent estimates; social-desirability modes can inflate variance and reduce power. Sample constraints: pilot per-site N≈800 may be insufficient to reliably detect small DIF (d=0.2) in many-group scenarios without increasing cluster counts. Privacy and network data: differential privacy on small-area or network aggregates can produce high noise levels, reducing analytical utility. Generalization: calibrated scales validated in pilot sites may not transfer to all African contexts due to cultural and institutional variation (limits to external validity). Operational: translation and cognitive testing may reveal items that require adaptation, undermining strict cross-site comparability. Compute: hierarchical Bayesian IRT and large simulation grids require substantial compute time and memory, slowing iteration. Ethical/legal: national data sovereignty and IRB requirements may restrict data sharing and publication of certain aggregates.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