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when_do_we_experience_effort</w:t>
      </w:r>
    </w:p>
    <w:p>
      <w:r>
        <w:t xml:space="preserve"> </w:t>
      </w:r>
    </w:p>
    <w:p>
      <w:pPr>
        <w:pStyle w:val="Heading2"/>
      </w:pPr>
      <w:r>
        <w:t>Title</w:t>
      </w:r>
    </w:p>
    <w:p>
      <w:r>
        <w:t>Trial-level causal test of subjective effort as resistance to affective behavior-guiding signals using multimodal behavioral and physiological measurements</w:t>
      </w:r>
    </w:p>
    <w:p>
      <w:r>
        <w:t xml:space="preserve"> </w:t>
      </w:r>
    </w:p>
    <w:p>
      <w:pPr>
        <w:pStyle w:val="Heading2"/>
      </w:pPr>
      <w:r>
        <w:t>Short Hypothesis</w:t>
      </w:r>
    </w:p>
    <w:p>
      <w:r>
        <w:t>Experimentally increasing expected affective behavior-guiding signals (cue-induced expected demand, μ_t) causes increased trial-level subjective effort reports, and this effect is mediated by phasic pupil dilation reflecting anticipatory control allocation.</w:t>
      </w:r>
    </w:p>
    <w:p>
      <w:r>
        <w:t xml:space="preserve"> </w:t>
      </w:r>
    </w:p>
    <w:p>
      <w:pPr>
        <w:pStyle w:val="Heading2"/>
      </w:pPr>
      <w:r>
        <w:t>Related Work</w:t>
      </w:r>
    </w:p>
    <w:p>
      <w:r>
        <w:t>Existing work explains experienced effort in two broad ways: (1) cost/opportunity-cost models that treat effort as a signal of resource costs or foregone rewards, and (2) control-allocation or fatigue models that tie effort to capacity limits or cumulative depletion. Psychophysiological studies link pupil dilation and frontal midline EEG theta to cognitive control and arousal, and neuroimaging implicates dACC/dmPFC and anterior insula in demand valuation. Effort-discounting paradigms measure willingness to trade reward for less effort but conflate anticipated cost with motivation. Limitations of current approaches include poor temporal separation of anticipation versus execution versus feedback (so expected demand μ_t, chosen control u_t, and prediction error PE_t are often mixed), insufficient causal tests (few randomized instruments or neuromodulation), limited cross-domain validation between mental and physical effort, small sample sizes or trial counts for stable multilevel estimates, and inadequate preregistered multiplicity and mediation identification strategies.</w:t>
      </w:r>
    </w:p>
    <w:p>
      <w:r>
        <w:t xml:space="preserve"> </w:t>
      </w:r>
    </w:p>
    <w:p>
      <w:pPr>
        <w:pStyle w:val="Heading2"/>
      </w:pPr>
      <w:r>
        <w:t>Abstract</w:t>
      </w:r>
    </w:p>
    <w:p>
      <w:r>
        <w:t>We test the hypothesis that the felt experience of effort arises when agents resist affective, behavior-guiding signals (for example hunger, pain, or temptation) rather than primarily signaling resource costs. We propose a multimodal, trial-level experimental framework that manipulates cue-based expected demand (μ_t, the anticipated signal), objective task demand, and reward in a fully crossed design, and measures subjective effort (0–100), phasic and tonic pupillometry, EEG theta, SCR, HRV, and fMRI in key ROIs (dACC, anterior insula, dlPFC, striatum). The main contribution is a pre-registered primary inferential test: a multilevel causal mediation of randomized cue validity on subjective effort via phasic pupil dilation (anticipatory marker), with explicit generative observation models linking μ_t, chosen control u_t, and prediction error PE_t to each modality. Expected outcome: (a) trialwise separability of μ_t, u_t, and PE_t; (b) a significant mediated effect consistent with anticipation-driven resistance; and (c) demonstration that this account is empirically distinct from cost/opportunity-cost and fatigue-only explanations. Results will clarify when and how effort is experienced across mental and physical domains.</w:t>
      </w:r>
    </w:p>
    <w:p>
      <w:r>
        <w:t xml:space="preserve"> </w:t>
      </w:r>
    </w:p>
    <w:p>
      <w:pPr>
        <w:pStyle w:val="Heading2"/>
      </w:pPr>
      <w:r>
        <w:t>Experiments</w:t>
      </w:r>
    </w:p>
    <w:p>
      <w:r>
        <w:t>Participants and datasets: primary sample for neuroimaging N=40 (target usable N after data loss = 32–34) with ≥200 trials per subject; pupillometry/EEG-only sample N=35 with ≥250 trials; behavioral/field sample N=80 for experience sampling and discounting; pharmacology/TMS subsample N=24–30 within-subject crossover. Tasks: (1) adaptive parametric cognitive-control task (e.g., N-back or Stroop) with continuous objective demand levels and trialwise subjective effort rating (0–100); (2) effort-discounting choice task (low-effort/low-reward vs high-effort/high-reward); (3) matched physical-effort grip task calibrated to the 0–100 scale; (4) cue-validity manipulation (valid/invalid cues) fully crossed with objective demand and reward, plus rare surprise trials; interleave forced-choice and free-choice trials to separate μ_t (cue-locked), u_t (execution), and PE_t (feedback). Baselines: cost-based computational model (opportunity-cost/EVC), fatigue-only model (cumulative capacity decline), and null/no-mediation model. Primary statistical model: preregistered multilevel causal mediation with trial-level mediator M_t = phasic pupil amplitude, outcome Y_t = standardized subjective effort, treatment Z_t = randomized cue validity; hierarchical levels: trials nested within runs within subjects; random intercepts and random slopes for Z_t and M_t. Primary inferential test: indirect effect (Z→M→Y) significance using Bayesian multilevel mediation posterior and 95% credible interval not containing zero. Evaluation metrics: indirect effect posterior mean and 95% CI, ROI contrast effect sizes (Cohen's d), MVPA AUC for classification of μ_t levels, PSIS-LOO Δelpd for model selection, parameter recovery metrics (bias, RMSE, coverage), and ICC for scale reliability. Preprocessing and QC: fMRI mean FD &lt;0.25 mm, exclude runs with &gt;20% volumes FD&gt;0.5 mm; pupillometry sampling ≥250 Hz, blink interpolation &lt;20% per trial, ≥70% usable trials; ECG R-peak coverage &gt;95%. Ablations and comparisons: (A) remove cue-validity randomization (observational version) to test instrument strength loss; (B) drop phasic pupil mediator and test alternative mediators (EEG theta, SCR); (C) compare generative models: resistance-to-affect model versus cost/opportunity-cost and fatigue-only models using PSIS-LOO and posterior predictive checks. Additional analyses: instrument validity checks (first-stage F&gt;10), sensitivity analyses for unmeasured mediator–outcome confounding, and simulation-based power/recovery across μ–u correlation and SNR grids.</w:t>
      </w:r>
    </w:p>
    <w:p>
      <w:r>
        <w:t xml:space="preserve"> </w:t>
      </w:r>
    </w:p>
    <w:p>
      <w:pPr>
        <w:pStyle w:val="Heading2"/>
      </w:pPr>
      <w:r>
        <w:t>Risk Factors And Limitations</w:t>
      </w:r>
    </w:p>
    <w:p>
      <w:r>
        <w:t>Instrument weakness: cue validity may not be a sufficiently strong or exclusive instrument if cues influence outcome via other channels, violating the exclusion restriction. Temporal confounding: imperfect temporal separation of anticipation (μ_t), execution (u_t), and feedback (PE_t) may bias mediation estimates. Measurement noise: physiological signals (pupil, EEG, SCR) are noisy and subject to artifacts (blinks, motion), reducing SNR and identifiability. Trial burden and fatigue: 200–300 trials per subject may induce nonrandom missingness and fatigue that correlates with latent variables, biasing estimates. Sample-size constraints: pharmacology/TMS subsamples may be underpowered for medium effects. Generalization limits: lab tasks may not generalize to complex real-world affective signals. Safety and feasibility: neuromodulation and pharmacology arms require screening and may be constrained by ethics/IRB approval. Computational identifiability: highly correlated latent processes (μ_t and u_t) can produce weak parameter recovery and multimodal posteriors. Data sharing/privacy: physiological and clinical data require careful anonymization, which may limit raw-data availability.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