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history_therapy_rhlr</w:t>
      </w:r>
    </w:p>
    <w:p>
      <w:r>
        <w:t xml:space="preserve"> </w:t>
      </w:r>
    </w:p>
    <w:p>
      <w:pPr>
        <w:pStyle w:val="Heading2"/>
      </w:pPr>
      <w:r>
        <w:t>Title</w:t>
      </w:r>
    </w:p>
    <w:p>
      <w:r>
        <w:t>History therapy intervention using structured archival exposure to improve meaning-making and psychological well-being</w:t>
      </w:r>
    </w:p>
    <w:p>
      <w:r>
        <w:t xml:space="preserve"> </w:t>
      </w:r>
    </w:p>
    <w:p>
      <w:pPr>
        <w:pStyle w:val="Heading2"/>
      </w:pPr>
      <w:r>
        <w:t>Short Hypothesis</w:t>
      </w:r>
    </w:p>
    <w:p>
      <w:r>
        <w:t>Participants who receive an 8–10 session History Therapy intervention combining curated historical materials with guided reflection will show greater increases in meaning-in-life scores at 3 months post-intervention than participants receiving an active supportive counseling control.</w:t>
      </w:r>
    </w:p>
    <w:p>
      <w:r>
        <w:t xml:space="preserve"> </w:t>
      </w:r>
    </w:p>
    <w:p>
      <w:pPr>
        <w:pStyle w:val="Heading2"/>
      </w:pPr>
      <w:r>
        <w:t>Related Work</w:t>
      </w:r>
    </w:p>
    <w:p>
      <w:r>
        <w:t>Existing approaches that aim to increase meaning and identity coherence include life-review, dignity therapy, meaning-centered psychotherapy, narrative therapy, and bibliotherapy (using texts for reflection). These methods show small-to-moderate average effects on meaning and mood but often lack standardized, replicable protocols linking specific stimulus materials to therapist scripts. Prior work in narrative identity research provides measures of narrative coherence but is rarely integrated with structured stimulus selection or archival provenance. Digital humanities and archival outreach projects demonstrate ways to curate historical materials but typically focus on scholarship or education rather than therapeutic structure. Limitations across these fields are: inconsistent manualization (hard to reproduce), limited fidelity measures, weak mixed-method integration (qualitative mechanisms rarely linked quantitatively), sparse randomized evidence for interventions that use external historical materials, and under-specified ethical/data-governance procedures for sensitive narrative material. These gaps constrain causal claims about how curated historical materials drive meaning-making and well-being.</w:t>
      </w:r>
    </w:p>
    <w:p>
      <w:r>
        <w:t xml:space="preserve"> </w:t>
      </w:r>
    </w:p>
    <w:p>
      <w:pPr>
        <w:pStyle w:val="Heading2"/>
      </w:pPr>
      <w:r>
        <w:t>Abstract</w:t>
      </w:r>
    </w:p>
    <w:p>
      <w:r>
        <w:t>Problem: Many psychotherapies aim to increase meaning and identity coherence but do not systematically use curated historical materials to catalyze re-authoring processes. Approach: We propose History Therapy, a manualized intervention that pairs structured exposure to curated archival packets (documents, images, recordings with provenance metadata) with guided reflective sessions to prompt self-reappraisal and meaning-making. Contribution: We provide a testable protocol specifying session scripts, archival-packet selection rules, fidelity scales, screening/escalation thresholds, and mixed-method outcome measures. Expected outcome: When delivered by trained therapists, History Therapy is expected to produce larger increases in measured presence of meaning at 3 months post-intervention compared with active supportive counseling, with narrative-coherence change mediating the effect. Impact: If effective, the method offers a reproducible, ethically framed way to integrate historical materials into evidence-based clinical practice and to study mechanisms of meaning-making.</w:t>
      </w:r>
    </w:p>
    <w:p>
      <w:r>
        <w:t xml:space="preserve"> </w:t>
      </w:r>
    </w:p>
    <w:p>
      <w:pPr>
        <w:pStyle w:val="Heading2"/>
      </w:pPr>
      <w:r>
        <w:t>Experiments</w:t>
      </w:r>
    </w:p>
    <w:p>
      <w:r>
        <w:t>Datasets: (1) Participant sample: N=200 adults (aged 18–75) randomized 1:1 to History Therapy (HT) vs active supportive counseling (SC). Secondary arms/ablations: HT-minus-archives (same therapist scripts but neutral non-historical prompts) with N=100 optional. (2) Archival corpus: curated packets (public-domain newspapers, public records, oral-history excerpts, photographs) with metadata (Dublin Core fields). (3) Qualitative subset: n=40 purposive interviews across arms. Baselines: life-review/dignity-therapy style protocols as descriptive comparators in literature; active control is time-matched supportive counseling. Measures: Primary: Meaning in Life Questionnaire — Presence subscale (MIQ-Presence) at 3 months post-intervention (scoring range specified in protocol). Secondary: PHQ-9 (depression), GAD-7 (anxiety), PCL-5 (PTSD symptoms), SUDS (in-session distress; 0–10 scale), Narrative Coherence Index (quantitative coding of temporal/causal/thematic coherence; numerical score), Archival Engagement Scale (self-report; 1–5). Process/fidelity: session-level fidelity 0–4 scales, inter-rater ICC target ≥0.75. Design: randomized controlled trial, individual delivery, 8–10 weekly sessions, assessments at baseline, post-treatment, 3 months (primary), 6 months. Sample size and power: target 100/arm (N=200) powered to detect d=0.50 (80% power) with attrition allowance; alternative sensitivity scenarios for d=0.35 and cluster delivery adjustments provided in power spreadsheet. Statistical tests: mixed-effects linear model testing group×time interaction with random intercepts and slopes; estimate treatment effect and 95% CI. Missing data: full-information maximum likelihood (FIML; estimates using all available data) and MNAR sensitivity with pattern-mixture models. Mediation: test whether change in Narrative Coherence mediates MIQ-Presence change using longitudinal mediation in mixed models. Ablation: compare HT vs HT-minus-archives to isolate archival-material contribution. Qualitative analysis: semi-structured interviews coded with narrative structural and thematic coding; produce joint displays mapping codes to quantitative changes. Evaluation metrics: primary effect size on MIQ-Presence, secondary symptom change (PHQ-9, GAD-7), mediation effect size, fidelity adherence rates, SUDS peak counts. Pre-registration and code: preregister trial, provide power scripts, MCID analysis script, and statistical analysis plan.</w:t>
      </w:r>
    </w:p>
    <w:p>
      <w:r>
        <w:t xml:space="preserve"> </w:t>
      </w:r>
    </w:p>
    <w:p>
      <w:pPr>
        <w:pStyle w:val="Heading2"/>
      </w:pPr>
      <w:r>
        <w:t>Risk Factors And Limitations</w:t>
      </w:r>
    </w:p>
    <w:p>
      <w:r>
        <w:t>Induced distress: archival materials may trigger acute distress or re-traumatization in some participants; this is a clinical risk. Sample bias: recruited samples may not represent all cultural groups, limiting generalization. Measurement limits: MIQ-Presence may not capture all dimensions of meaning for diverse cultures; newly developed scales (Archival Engagement, Narrative Coherence index) may require extensive validation. Small effects: true effect size may be smaller than d=0.50, requiring larger samples. Ethical/IP constraints: archival licensing and cross-jurisdiction permissions may limit available materials. Privacy and re-identification: rich narrative and archival metadata increase re-identification risk (k-anonymity challenges). Scalability: therapist training requirements and fidelity monitoring may limit rapid scale-up. Data and compute: transcription, qualitative coding, and secure media hosting add logistic and cost burdens. Cultural generalization: curated historical packets are context-dependent and may not transfer across cultures without adaptation. Regulatory complexity: multi-jurisdiction data governance (HIPAA/GDPR) and repository access rules complicate sharing of sensitive materials.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