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pygmalion_ai_narratives</w:t>
      </w:r>
    </w:p>
    <w:p>
      <w:r>
        <w:t xml:space="preserve"> </w:t>
      </w:r>
    </w:p>
    <w:p>
      <w:pPr>
        <w:pStyle w:val="Heading2"/>
      </w:pPr>
      <w:r>
        <w:t>Title</w:t>
      </w:r>
    </w:p>
    <w:p>
      <w:r>
        <w:t>Causal analysis of how cultural narratives and regulatory policy signals shape AI development using multilingual narrative embeddings and quasi-experimental designs</w:t>
      </w:r>
    </w:p>
    <w:p>
      <w:r>
        <w:t xml:space="preserve"> </w:t>
      </w:r>
    </w:p>
    <w:p>
      <w:pPr>
        <w:pStyle w:val="Heading2"/>
      </w:pPr>
      <w:r>
        <w:t>Short Hypothesis</w:t>
      </w:r>
    </w:p>
    <w:p>
      <w:r>
        <w:t>Increases in risk-aware cultural narratives or policy language cause a measurable rise in safety-related engineering actions (e.g., addition of safety feature flags, increased test coverage, or delayed public releases) within three months among exposed developer actors compared to unexposed controls.</w:t>
      </w:r>
    </w:p>
    <w:p>
      <w:r>
        <w:t xml:space="preserve"> </w:t>
      </w:r>
    </w:p>
    <w:p>
      <w:pPr>
        <w:pStyle w:val="Heading2"/>
      </w:pPr>
      <w:r>
        <w:t>Related Work</w:t>
      </w:r>
    </w:p>
    <w:p>
      <w:r>
        <w:t>Existing work applies computational text analysis (topic models, sentiment analysis, and embedding-based methods) to study media narratives, public opinion, and policy diffusion, and separate streams use causal inference (difference-in-differences, synthetic control) to evaluate policy impacts. Prior studies of developer behavior analyze repository metadata and code signals to infer engineering practices. Limitations across these approaches include: narrow language coverage (mostly English), coarse topic labels that conflate frames, weak linkage between narrative measures and concrete engineering artifacts, limited causal identification when shocks are staggered or when exposure spills over across actors, and scarce integration of ethnographic validation to ensure cultural nuance. Existing synthetic-data or privacy solutions often trade utility for privacy without measured disclosure risk. These gaps leave unresolved how culturally specific narratives and formal policies causally change AI development decisions in multilingual, networked ecosystems.</w:t>
      </w:r>
    </w:p>
    <w:p>
      <w:r>
        <w:t xml:space="preserve"> </w:t>
      </w:r>
    </w:p>
    <w:p>
      <w:pPr>
        <w:pStyle w:val="Heading2"/>
      </w:pPr>
      <w:r>
        <w:t>Abstract</w:t>
      </w:r>
    </w:p>
    <w:p>
      <w:r>
        <w:t>We study whether shifts in cultural narratives and regulatory policy language causally influence concrete AI development outcomes. We combine multilingual narrative embeddings (vector representations of recurring frames, metaphors, and valence) with time-aligned engineering artifact signals (commit messages, feature flags, test coverage, release events). We use pre-registered quasi-experimental designs—difference-in-differences, staggered-treatment estimators, and synthetic-control—and targeted randomized interventions on procurement/grant language to estimate causal effects. Main contributions are: (1) an operational pipeline that detects temporally coherent frames across languages and links them to repository-level engineering signals; (2) a set of pre-specified, testable metrics for homogenization and representational parity; and (3) reproducible causal protocols and public synthetic datasets with provenance. Expected outcomes include quantified effect sizes for narrative-to-design influence, validation of multilingual framing classifiers, and actionable diagnostics for policy makers and researchers on how narratives and regulations shape AI development.</w:t>
      </w:r>
    </w:p>
    <w:p>
      <w:r>
        <w:t xml:space="preserve"> </w:t>
      </w:r>
    </w:p>
    <w:p>
      <w:pPr>
        <w:pStyle w:val="Heading2"/>
      </w:pPr>
      <w:r>
        <w:t>Experiments</w:t>
      </w:r>
    </w:p>
    <w:p>
      <w:r>
        <w:t>Datasets: 12+ months of time-stamped corpora: news (NewsAPI/LexisNexis), social media (X/Twitter API v2, Reddit, Mastodon), policy documents (government/NGO repositories), arXiv abstracts, GitHub public events and GH Archive commits/PRs, job postings, and ethnographic notes (redacted). Preprocess: language detection, tokenization, timestamps, actor linking (actor_id for orgs/repos/individuals). Baselines: (A) LDA topic modeling + keyword-based frame counts; (B) monolingual embedding classifier; (C) correlation-only regressions without causal controls. Proposed pipeline: multilingual frame classifier using sentence embeddings (dense vectors representing meaning; explain: vectors are lists of numbers capturing semantics) with supervised frame labels; artifact parsers extract safety signals (presence of safety feature flags, test additions, release delay flags, license changes). Evaluation metrics: frame detection F1, precision, recall; calibration measured by Expected Calibration Error (ECE, difference between predicted and observed probabilities); semantic convergence = mean pairwise cosine similarity of actor-level frame embeddings (cosine similarity = measure of vector closeness); narrative repertoire entropy (Shannon entropy of frame distribution); Jensen–Shannon divergence between actor groups (measure of distribution difference); representational parity index (variance ratio of frame prevalence across groups); treatment effect estimates with 95% bootstrapped confidence intervals. Experimental setups: Quasi-experiments—identify exogenous narrative/policy shocks (policy release, major media event) and run difference-in-differences with actor and time fixed effects; use staggered-treatment estimators to handle varying shock timing; construct synthetic controls for single-unit shocks with defined donor pools. Randomized interventions—A/B tests of procurement/grant language targeted at sample of procurement officers with pre-registered outcomes measured at repo-level. Robustness checks: placebo dates, alternative lags (1–3, 3–6 months), actor exclusion, permutation tests. Ablation studies: (1) remove multilingual translation QA to quantify language calibration loss; (2) replace frame classifier with LDA baseline to measure effect of explicit frame modeling; (3) omit artifact linkage to test necessity of connecting narratives to engineering signals. Statistical details: cluster standard errors at repo/actor level, bootstrapped CIs for distribution metrics, cross-validation for classifier hyperparameters, and pre-registration of variable definitions and multiple-testing corrections. Reporting: provide full code skeletons, metric unit tests, and release a synthetic public dataset tier with provenance metadata.</w:t>
      </w:r>
    </w:p>
    <w:p>
      <w:r>
        <w:t xml:space="preserve"> </w:t>
      </w:r>
    </w:p>
    <w:p>
      <w:pPr>
        <w:pStyle w:val="Heading2"/>
      </w:pPr>
      <w:r>
        <w:t>Risk Factors And Limitations</w:t>
      </w:r>
    </w:p>
    <w:p>
      <w:r>
        <w:t>Technical failure modes: frame classifiers may have low performance on rare or culture-specific frames; translation errors can distort multilingual signals. Data and evaluation biases: English-dominant sources may bias results; selective scraping and API rate limits can produce missingness. Causal inference limits: unobserved confounders and interference (spillovers between actors) may bias effect estimates; staggered shocks can complicate identification. Privacy and legal constraints: platform TOS, paywalls, private repos, and IRB limits may restrict access to key data. Synthetic data trade-offs: generated data may leak patterns or lose utility for rare frames. Scalability and compute: dense multilingual embeddings and large archive parsing require substantial compute (GPUs, storage), limiting real-time analysis. Generalization limits: results may not transfer across regions, languages, time periods, or to private/internal decision-making; ethnographic notes may not be shareable, reducing external auditability.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