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peircean_semiosis_llm_hall_of_mirrors</w:t>
      </w:r>
    </w:p>
    <w:p>
      <w:r>
        <w:t xml:space="preserve"> </w:t>
      </w:r>
    </w:p>
    <w:p>
      <w:pPr>
        <w:pStyle w:val="Heading2"/>
      </w:pPr>
      <w:r>
        <w:t>Title</w:t>
      </w:r>
    </w:p>
    <w:p>
      <w:r>
        <w:t>Operationalizing Peircean Semiosis with Mutual Information and Causal Activation Patching to Test the Hall-of-Mirrors Problem in Large Language Models</w:t>
      </w:r>
    </w:p>
    <w:p>
      <w:r>
        <w:t xml:space="preserve"> </w:t>
      </w:r>
    </w:p>
    <w:p>
      <w:pPr>
        <w:pStyle w:val="Heading2"/>
      </w:pPr>
      <w:r>
        <w:t>Short Hypothesis</w:t>
      </w:r>
    </w:p>
    <w:p>
      <w:r>
        <w:t>If an internal activation pattern R causally encodes an external referent O, then performing activation patching do(R := r*) with context-matched reference activations will increase the target next-token probability by at least 0.10 (ΔP ≥ 0.10) relative to controls; if R only reflects surface distributional statistics (a 'hall of mirrors'), the same patching will not produce ΔP ≥ 0.10.</w:t>
      </w:r>
    </w:p>
    <w:p>
      <w:r>
        <w:t xml:space="preserve"> </w:t>
      </w:r>
    </w:p>
    <w:p>
      <w:pPr>
        <w:pStyle w:val="Heading2"/>
      </w:pPr>
      <w:r>
        <w:t>Related Work</w:t>
      </w:r>
    </w:p>
    <w:p>
      <w:r>
        <w:t>Prior work splits into three classes: (1) representational probing studies that train probes to read semantic content from internal activations but often produce spurious results because probes can learn dataset artifacts rather than true model encodings; (2) mutual information and contrastive methods that estimate statistical dependence between internal states and external labels but suffer bias and high variance in high dimensions and need careful negative sampling; (3) causal intervention methods (activation patching, ablation) that aim to demonstrate manipulability of behavior but face off-manifold artifacts and selection bias when units are chosen post hoc. Multimodal grounding approaches attempt to supply indexical references (e.g., images paired with text) but do not systematically test triadic (sign–object–interpretant) relations. Limitations across these strands include: probe-capacity confounds, MI estimator instability in high-dimensional spaces, lack of preregistered selection and multiple-comparison controls, and insufficient causal identification strategies to distinguish genuine grounding from surface mimicry.</w:t>
      </w:r>
    </w:p>
    <w:p>
      <w:r>
        <w:t xml:space="preserve"> </w:t>
      </w:r>
    </w:p>
    <w:p>
      <w:pPr>
        <w:pStyle w:val="Heading2"/>
      </w:pPr>
      <w:r>
        <w:t>Abstract</w:t>
      </w:r>
    </w:p>
    <w:p>
      <w:r>
        <w:t>We present a preregistered, falsifiable experimental framework that applies Peircean semiotics to evaluate whether large language models (LLMs) genuinely ground linguistic signs in external referents or merely reproduce surface patterns (the 'hall of mirrors' problem). Our approach combines two technical elements: mutual information (MI) estimation to identify candidate representamens R that statistically relate to external objects O, and causal activation patching (do(R := r*)) to test whether manipulating R changes downstream interpretants I (next-token probabilities). MI estimators (contrastive InfoNCE and Kraskov k-NN) and representational similarity (CKA) provide discovery signals; activation-patching with distributional matching and sham controls provides causal tests. The main contribution is a concrete, preregistered pipeline with numeric thresholds, null baselines, and a minimal multimodal toy experiment that yields a clear decision rule: a unit is considered grounded only if statistical association plus causal manipulability exceed prespecified effect-size and significance criteria. Expected outcome: an empirical method to distinguish genuine semiotic grounding from surface mimicry and a set of diagnostics to quantify hall-of-mirrors risk in LLMs.</w:t>
      </w:r>
    </w:p>
    <w:p>
      <w:r>
        <w:t xml:space="preserve"> </w:t>
      </w:r>
    </w:p>
    <w:p>
      <w:pPr>
        <w:pStyle w:val="Heading2"/>
      </w:pPr>
      <w:r>
        <w:t>Experiments</w:t>
      </w:r>
    </w:p>
    <w:p>
      <w:r>
        <w:t>Datasets: (1) Synthetic multimodal toy corpus: 50 distinct objects with unique nonce labels, 10,000 training scenes, 3 distractors per scene, 10,000 evaluation trials; (2) Scaled grounding set: image-caption pairs with explicit object bounding and labels (toy analog of real datasets) for transfer tests. Baselines: (A) same model architecture trained without multimodal grounding, (B) random-probe baseline (probes trained on shuffled labels), (C) permutation-sham patching (neuron-index shuffle), (D) Gaussian-noise patches matched to empirical covariances. Representations and preprocessing: extract R as post-FFN activations and layer-normed token embeddings at layers L ∈ {4,8,12}; apply layerwise z-scoring; optionally apply PCA retaining 95% variance (PCA explained: a method that reduces dimensionality while keeping most variance). Discovery/validation/test splits: 60/20/20 of evaluation examples. MI estimation: InfoNCE with in-batch negatives + memory queue (512 negatives), temperature τ=0.07, batch size 256; Kraskov k-NN with k=6 (sensitivity k∈{3,5,8,12}); bootstrap 95% CIs (1,000 resamples) and permutation nulls. Representational similarity: linear CKA and RSA (representational dissimilarity matrices). Probing: linear probes and one-hidden-layer MLPs ≤1,024 parameters; require probe generalization drop ≤10% out-of-domain. Clustering: HDBSCAN with cosine distance; persistence defined as cluster presence in ≥70% of context splits. Causal interventions: select candidate Rs with MI(R;O) &gt; null_mean+3·null_std and high ablation ΔP; activation patching do(R := r*) replacing R with context-matched reference activations (match token position and syntactic role); controls: random and permutation-sham patches; test locality at single neurons, FFN blocks of sizes {1,8,64}, and per-head patches. Repeats and statistics: 100 bootstrap repeats per patch condition; report ΔP(target), Cohen's d, mediation proportion, and permutation p-values; preregister success as ΔP ≥ 0.10 and p &lt; 0.01 (CI excludes null). Power: pilot power simulations using synthetic covariances; aim for 0.8 power to detect ΔP=0.10, pilot estimate ~2,000 independent intervention instances, finalize after dependence-aware simulations. Ablations: (i) remove multimodal grounding, (ii) vary preprocessing (raw / z-scored / PCA95), (iii) increase probe capacity, (iv) off-manifold patch checks using manifold-constrained interpolation. Multiplicity: hierarchical testing with Benjamini–Hochberg FDR q=0.05 at family levels (layer/head/FFN); report adjusted and unadjusted p-values.</w:t>
      </w:r>
    </w:p>
    <w:p>
      <w:r>
        <w:t xml:space="preserve"> </w:t>
      </w:r>
    </w:p>
    <w:p>
      <w:pPr>
        <w:pStyle w:val="Heading2"/>
      </w:pPr>
      <w:r>
        <w:t>Risk Factors And Limitations</w:t>
      </w:r>
    </w:p>
    <w:p>
      <w:r>
        <w:t>MI estimator failure modes: InfoNCE and Kraskov can be biased or high-variance in high-dimensional R, producing false positives or unstable estimates (InfoNCE: depends on negative sampling; Kraskov: sensitive to k and sample size). Off-manifold patch artifacts: replacing activations can create unrealistic states that drive behavior unrelated to natural model computation. Correlated interventions: activations and selection units are not independent, reducing effective sample size and invalidating naive power estimates. Probe confounds: probes may readouts dataset artifacts rather than true model encoding (probe capacity vs representation complexity mismatch). Scalability: compute, storage, and annotation costs grow rapidly when scaling from the toy (~100M) to production-scale LLMs; some diagnostics may be infeasible at large scale. Human annotation limits: inter-annotator disagreement and label biases limit the reliability of ground-truth interpretant judgments. Causal identification limits: randomized patching gives local causal evidence but cannot fully identify mediation in nonlinear high-dimensional systems and may not generalize across contexts. Generalization: results on synthetic or small multimodal models may not transfer to deployed LLMs with different training distributions or architectures.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