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llm_mh_diagnosis_treatment</w:t>
      </w:r>
    </w:p>
    <w:p>
      <w:r>
        <w:t xml:space="preserve"> </w:t>
      </w:r>
    </w:p>
    <w:p>
      <w:pPr>
        <w:pStyle w:val="Heading2"/>
      </w:pPr>
      <w:r>
        <w:t>Title</w:t>
      </w:r>
    </w:p>
    <w:p>
      <w:r>
        <w:t>Systematic evaluation of large language models for detection and personalized treatment support in mental health care</w:t>
      </w:r>
    </w:p>
    <w:p>
      <w:r>
        <w:t xml:space="preserve"> </w:t>
      </w:r>
    </w:p>
    <w:p>
      <w:pPr>
        <w:pStyle w:val="Heading2"/>
      </w:pPr>
      <w:r>
        <w:t>Short Hypothesis</w:t>
      </w:r>
    </w:p>
    <w:p>
      <w:r>
        <w:t>Fine-tuned large language models that use calibrated probability estimates and clinician-in-loop escalation detect imminent suicidality with sensitivity ≥0.99 and false-positive rate ≤0.25 in prospective clinical evaluation compared to gold-standard structured clinical interviews.</w:t>
      </w:r>
    </w:p>
    <w:p>
      <w:r>
        <w:t xml:space="preserve"> </w:t>
      </w:r>
    </w:p>
    <w:p>
      <w:pPr>
        <w:pStyle w:val="Heading2"/>
      </w:pPr>
      <w:r>
        <w:t>Related Work</w:t>
      </w:r>
    </w:p>
    <w:p>
      <w:r>
        <w:t>Existing approaches include (1) traditional statistical and machine learning classifiers trained on structured questionnaires and EHR features, (2) neural models and transformer language models applied to clinical notes and social-text for risk prediction, and (3) conversational agents and therapeutic chatbots based on sequence models. Limitations across prior work are consistent: datasets often lack gold-standard structured-interview labels and are small or non-representative; many models are poorly calibrated (probabilities do not match true risk), do not quantify uncertainty, and can produce unsupported factual assertions (hallucinations). Prior systems rarely embed clear clinician-in-loop escalation rules, lack multicenter external validation, provide limited subgroup fairness analysis, and omit reproducible artifacts (versioned schemas, adjudication protocols). Privacy-preserving training (federated learning, differential privacy) and formal regulatory documentation are rarely evaluated empirically. These gaps limit clinical trust, auditability, and safe deployment.</w:t>
      </w:r>
    </w:p>
    <w:p>
      <w:r>
        <w:t xml:space="preserve"> </w:t>
      </w:r>
    </w:p>
    <w:p>
      <w:pPr>
        <w:pStyle w:val="Heading2"/>
      </w:pPr>
      <w:r>
        <w:t>Abstract</w:t>
      </w:r>
    </w:p>
    <w:p>
      <w:r>
        <w:t>We propose a reproducible evaluation pipeline to measure whether large language models (LLMs) can safely assist mental health diagnosis and personalize treatment recommendations. The study builds a multicenter benchmark anchored to structured clinical interview labels, clinician consensus annotations, and longitudinal symptom scales. We evaluate fine-tuned LLMs with explicit uncertainty estimation (ensemble and Bayesian approximations), probability calibration, and conformal prediction for valid risk sets. We compare model outputs against clinician interviews and simple baselines, measure hallucination rates for factual claims, and assess subgroup performance by language and demographics. The main contributions are: (1) a documented dataset schema and annotation protocol tied to gold-standard labels; (2) a calibrated LLM evaluation pipeline including uncertainty, abstention, and clinician-escalation rules; and (3) reproducible statistical plans and monitoring metrics for safety, fairness, and regulatory review. Expected outcomes are clear, auditable measures of model sensitivity, calibration, factuality, and equity, enabling evidence-based decisions about deployment in clinical settings.</w:t>
      </w:r>
    </w:p>
    <w:p>
      <w:r>
        <w:t xml:space="preserve"> </w:t>
      </w:r>
    </w:p>
    <w:p>
      <w:pPr>
        <w:pStyle w:val="Heading2"/>
      </w:pPr>
      <w:r>
        <w:t>Experiments</w:t>
      </w:r>
    </w:p>
    <w:p>
      <w:r>
        <w:t>Datasets: (A) New multicenter clinical corpus with audio/text clinical interview transcripts, SCID or MINI structured-interview labels, PHQ-9/GAD-7 scores, medication and encounter metadata, and demographics; (B) curated public clinical-note corpora re-annotated to match SCID-derived labels; (C) multilingual challenge sets and adversarial perturbations (truncated text, ASR errors, slang). Baselines: (1) logistic regression on structured features (PHQ, demographics), (2) off-the-shelf pretrained transformer LLM with shallow classifier head, (3) fine-tuned LLM without calibration, (4) clinician-only gold standard. Proposed models: fine-tuned LLM + temperature scaling or isotonic regression for calibration, ensemble/MC-dropout for epistemic uncertainty, split-conformal prediction for valid risk sets, and versions trained under DP-SGD at ε in {0.5,1,5}. Evaluation metrics: sensitivity (primary), specificity, false-positive rate (FPR), false-negative rate (FNR), AUROC, AUPRC, precision, ECE (expected calibration error), Brier score, unsupported-claim rate per 1,000 tokens (hallucination), coverage of conformal sets, clinician override rate, time-to-escalation, subgroup sensitivity and calibration. Experimental setup: stratified train/validation/test splits by patient and site with temporal holdout; calibration performed on holdout; conformal set split from validation; hyperparameter grid search with fixed random seeds; report mean ± 95% CI via bootstrap (n=1000) for primary metrics. Ablations: compare (a) calibrated vs uncalibrated models, (b) with vs without conformal prediction, (c) ensemble vs single model, (d) pooled training vs federated training, (e) DP-SGD ε settings, (f) clinician-in-loop simulated workflow vs fully automated decisions. Prospective pilot: simulated deployment run on held-out site with monitoring of daily FNR/FPR, hallucination rate, and clinician override for 6 weeks; include noninferiority sample-size simulations for sensitivity target ≥0.99 across prevalences {0.5%,1%,5%} and ICC ranges {0.01,0.05}. All code, dataset schemas, and annotation guidelines provided with deterministic notebooks to reproduce experiments.</w:t>
      </w:r>
    </w:p>
    <w:p>
      <w:r>
        <w:t xml:space="preserve"> </w:t>
      </w:r>
    </w:p>
    <w:p>
      <w:pPr>
        <w:pStyle w:val="Heading2"/>
      </w:pPr>
      <w:r>
        <w:t>Risk Factors And Limitations</w:t>
      </w:r>
    </w:p>
    <w:p>
      <w:r>
        <w:t>Technical failure modes: model hallucinations producing unsupported clinical claims; poor calibration leading to over- or under-confidence; insufficient positive cases for rare outcomes making sensitivity estimates unstable. Data and evaluation biases: training data may underrepresent languages, cultures, or demographic groups causing unfair performance gaps; label circularity if instruments used for labels leak into inputs. Scalability and compute: ensemble and uncertainty methods increase compute and latency, limiting real-time use. Privacy constraints: DP or federated methods can reduce utility; re-identification risk remains for small subgroups. Generalization limits: models may not transfer across sites, dialects, or clinical workflows. Regulatory and operational limits: meeting SaMD/medical-device requirements and obtaining IRB approvals can delay deployment. Human factors: clinician workflow disruption, automation bias, and high override rates can reduce utility. Evaluation limits: measuring rare events (suicide attempts) requires large samples and long follow-up, constraining rapid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