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german_minority_archive_affect_impact</w:t>
      </w:r>
    </w:p>
    <w:p>
      <w:r>
        <w:t xml:space="preserve"> </w:t>
      </w:r>
    </w:p>
    <w:p>
      <w:pPr>
        <w:pStyle w:val="Heading2"/>
      </w:pPr>
      <w:r>
        <w:t>Title</w:t>
      </w:r>
    </w:p>
    <w:p>
      <w:r>
        <w:t>Mixed-methods empirical evaluation of the affective, social, and personal impacts of a German minority community archive in Silesia</w:t>
      </w:r>
    </w:p>
    <w:p>
      <w:r>
        <w:t xml:space="preserve"> </w:t>
      </w:r>
    </w:p>
    <w:p>
      <w:pPr>
        <w:pStyle w:val="Heading2"/>
      </w:pPr>
      <w:r>
        <w:t>Short Hypothesis</w:t>
      </w:r>
    </w:p>
    <w:p>
      <w:r>
        <w:t>Increased engagement with the German Minority Research Center archive (measured by visits, recorded contributions, and digital interactions) causes measurable increases in identity centrality and self-reported well‑being over a three-month period compared to low or no engagement.</w:t>
      </w:r>
    </w:p>
    <w:p>
      <w:r>
        <w:t xml:space="preserve"> </w:t>
      </w:r>
    </w:p>
    <w:p>
      <w:pPr>
        <w:pStyle w:val="Heading2"/>
      </w:pPr>
      <w:r>
        <w:t>Related Work</w:t>
      </w:r>
    </w:p>
    <w:p>
      <w:r>
        <w:t>Existing research on community and independent archives emphasizes qualitative case studies, oral histories, and descriptive impact reports. Evaluation work often documents cultural preservation benefits and volunteer motivations but is limited by cross-sectional designs, small convenience samples, and lack of intensive within-person measurement. Studies that assess affect or well‑being typically use single-time surveys or interviews rather than momentary methods (ESM) or longitudinal diaries, which reduces sensitivity to short-term affect dynamics. Work on archives' legal and technical controls frequently treats policy and engineering separately rather than embedding community governance in enforceable contracts and technical workflows. Privacy methods applied to narrative archival data are underdeveloped: de-identification often focuses on simple redaction without k-anonymity or differential-privacy assessments. Measurement in multilingual minority contexts often lacks formal measurement invariance testing across language groups. Overall limitations are weak causal inference, limited sampling power for subgroup tests, insufficient privacy quantification for narrative materials, and sparse integration of community veto/governance into binding legal and technical artifacts.</w:t>
      </w:r>
    </w:p>
    <w:p>
      <w:r>
        <w:t xml:space="preserve"> </w:t>
      </w:r>
    </w:p>
    <w:p>
      <w:pPr>
        <w:pStyle w:val="Heading2"/>
      </w:pPr>
      <w:r>
        <w:t>Abstract</w:t>
      </w:r>
    </w:p>
    <w:p>
      <w:r>
        <w:t>This study empirically evaluates how engagement with an independent German minority community archive in Silesia affects contributors' and community members' identity and well‑being. Using a mixed-methods design, the project combines a baseline panel survey (n≈300), an experience-sampling subsystem (ESM, n≈80, 3 prompts/day × 7 days), a 14-day emotion diary cohort (n≈140), and 30–40 purposive life-history interviews collected bilingually. Quantitative analyses use preregistered multilevel models and Monte Carlo power simulations to estimate within‑person and between‑person effects of archive engagement (visits, contributions, portal activity) on identity centrality and affect; qualitative analyses apply a thematic coding framework linked to validated scales for joint display. The main contribution is a reproducible protocol that couples intensive momentary affect measurement with archival ingest and governance logs to test causal and dose–response relations between archive participation and psychosocial outcomes. Expected outcomes are defensible effect estimates, validated bilingual measures, and operational specifications for privacy, security, and legally binding community stewardship relevant to minority archives.</w:t>
      </w:r>
    </w:p>
    <w:p>
      <w:r>
        <w:t xml:space="preserve"> </w:t>
      </w:r>
    </w:p>
    <w:p>
      <w:pPr>
        <w:pStyle w:val="Heading2"/>
      </w:pPr>
      <w:r>
        <w:t>Experiments</w:t>
      </w:r>
    </w:p>
    <w:p>
      <w:r>
        <w:t>Datasets: 1) Baseline survey panel: n=300 participants, four waves (baseline, 1 month, 2 months, 3 months). 2) ESM: n=80 participants, 3 prompts/day for 7 days per burst (21 repeated measures per person). 3) Diary: n=140 participants, daily entries for 14 days (14 repeated measures). 4) Qualitative: 30–40 semi-structured life-history interviews, bilingual transcripts; participatory co-interpretation session notes. 5) Administrative logs: ingest counts, portal access metrics, metadata records. Baselines for comparison: a) matched control group of community members with low/no archive engagement using propensity-score matching on age, gender, migration generation, baseline well-being; b) stepped-wedge rollout comparison across partner sites where feasible. Evaluation metrics: WHO-5 well-being score (continuous), archive-attachment scale score (continuous), identity-centrality scale (continuous), ESM momentary affect valence (scale), compliance rate (% prompts answered), inter-coder reliability (Cohen's kappa), multilevel model fixed-effect coefficients and 95% CI, RMSE and AIC/BIC for model fit, detectable standardized effect sizes (Cohen's d). Experimental setup: 1) Preregister primary outcomes and models. 2) Power &amp; Monte Carlo simulations: use R 4.x, lme4 and simr packages, seed=20250401, 1000 replications per scenario; ICCs = {0.05,0.10}; within-person AR(1) rho = {0.4,0.6,0.8}; between-person variance = 0.4; residual variance = 0.6; attrition scenarios = {20%,30%}. 3) Statistical models: multilevel mixed-effects models with measurements nested in person (random intercepts and random slopes for time/dose); within-person dose modeled as time-varying continuous predictor (log visits+1 or log interactions); missing data handled by multiple imputation (MICE) under MAR and sensitivity checks under MNAR. 4) Privacy/utility ablation: test re-identification metrics (k-anonymity thresholds k={3,5,10}, l-diversity l={1,2,3}) and differential privacy for aggregated counts with epsilons ε={0.5,1.0,2.0}; measure utility as RMSE of released counts vs raw counts. 5) Method ablations: (A) full model with ESM+diary; (B) model without ESM (diary+survey only); (C) model excluding community co-interpretation-derived measures; (D) models comparing translated vs back-translated scale versions to assess measurement invariance effects. 6) Qualitative integration: produce joint displays linking code frequencies to scale scores and run mixed-methods mediation tests (multilevel mediation where archival dose → affect → identity centrality). Reproducibility: share R scripts, seeds, and simulated datasets for all Monte Carlo and model runs.</w:t>
      </w:r>
    </w:p>
    <w:p>
      <w:r>
        <w:t xml:space="preserve"> </w:t>
      </w:r>
    </w:p>
    <w:p>
      <w:pPr>
        <w:pStyle w:val="Heading2"/>
      </w:pPr>
      <w:r>
        <w:t>Risk Factors And Limitations</w:t>
      </w:r>
    </w:p>
    <w:p>
      <w:r>
        <w:t>1) Participant nonresponse and dropout: ESM compliance may be 30–50% nonresponse; diary attrition and 20–30% panel attrition possible. 2) Small subgroup sizes: some language or age subgroups may have &lt;150 cases, limiting measurement invariance testing and subgroup power. 3) Causal inference limits: without randomized assignment, residual confounding may bias dose–response estimates. 4) Re-identification risk: narrative oral histories and metadata pose high re-ID risk even after redaction; k-anonymity/l-diversity thresholds may force restrictive access that reduces research utility. 5) Differential privacy trade-offs: small ε improves privacy but degrades utility; no single ε fits all releases. 6) Translation and measurement error: imperfect translations and cultural nuance may bias scales and reduce validity. 7) Legal conflicts: community vetoes may conflict with institutional obligations (GDPR, copyright), producing enforceability and liability ambiguities. 8) Mental-health service constraints: limited local German-speaking clinicians or SLA breaches can leave participants unsupported. 9) Technical scalability: storage, encryption key management, and long-term migration (cloud vs tape) increase costs and operational complexity. 10) Computation limits: Monte Carlo simulations and multilevel models with many scenarios require compute resources and time. 11) Generalizability: findings from one regional minority archive in Silesia may not generalize to other minority contexts. 12) Ethical harms: public release of sensitive narrative material could cause community harm despite controls.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