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navigating_impact_vc</w:t>
      </w:r>
    </w:p>
    <w:p>
      <w:r>
        <w:t xml:space="preserve"> </w:t>
      </w:r>
    </w:p>
    <w:p>
      <w:pPr>
        <w:pStyle w:val="Heading2"/>
      </w:pPr>
      <w:r>
        <w:t>Title</w:t>
      </w:r>
    </w:p>
    <w:p>
      <w:r>
        <w:t>A mixed-methods, de Certeau-informed staggered-difference-in-differences study of how impact venture capitalists access new markets, founders, and capital</w:t>
      </w:r>
    </w:p>
    <w:p>
      <w:r>
        <w:t xml:space="preserve"> </w:t>
      </w:r>
    </w:p>
    <w:p>
      <w:pPr>
        <w:pStyle w:val="Heading2"/>
      </w:pPr>
      <w:r>
        <w:t>Short Hypothesis</w:t>
      </w:r>
    </w:p>
    <w:p>
      <w:r>
        <w:t>Providing intermediary partnerships or first-loss concessional tranches to impact VC deal processes causally reduces time-to-investment by at least 25% and increases the probability of institutional follow-on financing within 24 months by at least 10 percentage points compared with comparable deals that do not receive these interventions.</w:t>
      </w:r>
    </w:p>
    <w:p>
      <w:r>
        <w:t xml:space="preserve"> </w:t>
      </w:r>
    </w:p>
    <w:p>
      <w:pPr>
        <w:pStyle w:val="Heading2"/>
      </w:pPr>
      <w:r>
        <w:t>Related Work</w:t>
      </w:r>
    </w:p>
    <w:p>
      <w:r>
        <w:t>Existing research examines impact investing, blended finance, catalytic capital, and venture capital deal processes using descriptive case studies, portfolio analyses, and quantitative evaluation of blended instruments. Measurement work has proposed indicator sets such as IRIS+ for social and environmental outcomes. Causal-inference studies in related domains use difference-in-differences, matching, and synthetic-control methods to estimate program effects. Limitations in prior approaches include weak handling of staggered rollouts and heterogeneous effects, limited small-cluster inference solutions, inadequate treatment of interference (spillovers between funds or markets), insufficient pre-specification of MNAR (missing not at random) sensitivity, scarce validation of impact measurement mappings (IRIS+ inter-rater reliability), and few mixed-methods designs that integrate ethnographic tactics analysis with rigorous quasi-experimental identification. Prior work also often omits systematic jurisdictional legal/regulatory codings that moderate treatment effects.</w:t>
      </w:r>
    </w:p>
    <w:p>
      <w:r>
        <w:t xml:space="preserve"> </w:t>
      </w:r>
    </w:p>
    <w:p>
      <w:pPr>
        <w:pStyle w:val="Heading2"/>
      </w:pPr>
      <w:r>
        <w:t>Abstract</w:t>
      </w:r>
    </w:p>
    <w:p>
      <w:r>
        <w:t>This study investigates how impact venture capitalists operationalize the contested meaning of "impact" to access new markets, founders, and capital by combining ethnographic analysis with pre-registered quasi-experimental inference. We apply Michel de Certeau's concept of tactics to document everyday practices and integrate those qualitative insights with a staggered difference-in-differences estimator (Callaway &amp; Sant’Anna) to estimate causal effects of intermediary partnerships and first-loss concessional tranches on deal outcomes. The project contributes (1) a Minimum Viable Measurement Framework mapped to IRIS+, (2) a registered causal strategy with transparent power simulations and MNAR sensitivity analyses, and (3) a validated mixed-methods protocol linking tactical behaviors, network position, and legal-regulatory context to outcomes. Expected outcomes include precise estimates of time-to-investment and follow-on financing effects, validated measurement instruments, and an evidence base for policy and fund design decisions in emerging markets. The approach yields actionable inferences while preserving reproducibility and data governance standards.</w:t>
      </w:r>
    </w:p>
    <w:p>
      <w:r>
        <w:t xml:space="preserve"> </w:t>
      </w:r>
    </w:p>
    <w:p>
      <w:pPr>
        <w:pStyle w:val="Heading2"/>
      </w:pPr>
      <w:r>
        <w:t>Experiments</w:t>
      </w:r>
    </w:p>
    <w:p>
      <w:r>
        <w:t>Datasets: Phase-1 pilot: ~100 deals from 1-2 fund clusters with ethnographic notes and legal codings; Full dataset: 300-500 deals across 6-8 impact funds plus 30-40 matched control-fund deals; IRIS+ validation sub-study: stratified sample ~100 deals; Founder ethnography: 30-40 in-depth founder cases. Baselines: (A) matched-control deals without intermediary or first-loss support using exact and propensity-score matching; (B) staggered-DiD alternatives (Sun &amp; Abraham estimator); (C) naive OLS/Cox without clustering. Primary metrics: time-to-investment (days from first substantive contact to signed term sheet), follow-on_institutional_financing (binary within 24 months), private_to_concessional_leverage (ratio). Secondary metrics: revenue_growth (12-24 months), jobs_created, syndication_depth. Causal estimators and models: primary estimator Callaway &amp; Sant’Anna (CSA) for staggered DiD; Cox proportional hazards for time-to-investment (Cox PH: a survival model that estimates hazard ratios, i.e., relative speed of events); logistic regression for follow-on financing (binary outcome); fractional or negative-binomial models for leverage. Clustering and inference: cluster standard errors at fund-level; if number_of_clusters &lt;= 20 use wild-cluster bootstrap and randomization inference for p-values; report cluster counts and finite-sample corrections. Preprocessing and covariates: pre-specify covariate set: fund_size, geography, sector, deal_stage, founder_prior_experience, ecosystem_typology. Matching: exact on fund_size, geography, sector; propensity-score matching as complement. Event-window and censoring: right-censor time-to-invest at 365 days for primary analysis; follow-on observed up to 24 months; implement competing-risks robustness (Fine-Gray model) for withdrawals vs closed deals (competing risks: different reasons that stop observation). MNAR sensitivity: pattern-mixture delta-adjusted imputations for survival and Lee bounds plus selection-model adjustments for binary follow-on; report tipping points over delta grid (hazard multipliers 0.5-2.0; log-odds shifts ±1.0). Measurement validation: compute inter-rater reliability for IRIS+ mappings (Cohen's kappa for categorical, Krippendorff's alpha for continuous); target kappa&gt;=0.70 and alpha&gt;=0.80. Ablations: (1) remove ethnographic/de Certeau coding and compare ATT estimates; (2) exclude ecosystem_typology covariates to assess omitted-variable bias; (3) omit legal/regulatory covariates; (4) compare CSA primary vs Sun &amp; Abraham and naive DiD; (5) compare Cox PH vs accelerated failure time (AFT) models (AFT: model where covariates act on event time directly). Robustness and small-cluster checks: report wild-bootstrap p-values, permutation-based randomization inference, and sensitivity to ICC in power scripts. Pre-registration: publish estimator, aggregation weights (cohort-weight by treated-deal counts), event windows, censoring rules, MNAR grids, and code in version-controlled repo before unmasking.</w:t>
      </w:r>
    </w:p>
    <w:p>
      <w:r>
        <w:t xml:space="preserve"> </w:t>
      </w:r>
    </w:p>
    <w:p>
      <w:pPr>
        <w:pStyle w:val="Heading2"/>
      </w:pPr>
      <w:r>
        <w:t>Risk Factors And Limitations</w:t>
      </w:r>
    </w:p>
    <w:p>
      <w:r>
        <w:t>Interference and spillovers: funds, founders, or markets may affect each other, violating no-interference and biasing DiD estimates. Small number of clusters: if funds or countries are few, standard errors may be unreliable and power reduced. Selection bias: participating funds or deals may differ systematically from non-participants, limiting external validity. Missing not at random (MNAR): outcomes or covariates could be missing in ways that standard imputation cannot fix, making causal conclusions fragile. Measurement error: IRIS+ mappings and self-reported outcomes may be inconsistent; validation sample may be too small for some strata. Legal and regulatory heterogeneity: jurisdictional differences may limit pooling and generalization. Ethnographic subjectivity: tactical interpretations may reflect observer effects or limited samples. Data governance constraints: privacy, NDAs, or cross-border transfer rules may restrict linkage and reproducibility. Computational limits: survival and clustered simulations with many scenarios may be compute-intensive for large Monte Carlo grids. Scalability: procedures calibrated in pilot contexts may not scale directly to new regions or larger fund sets.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