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consumption_populism_nlp_causal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Consumption Populism: a multilingual NLP and causal-inference pipeline linking executive populist messaging to consumer behavior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corporate messaging that scores higher on consumption-populism intensity causes an increase in consumers' purchase intent and short-term purchases compared to exposure to neutral corporate messaging.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spans three domains: (1) political populism theory which defines people-vs-elite logics and affective mobilization but rarely addresses corporate messaging; (2) consumer behavior studies on authenticity, identity signaling, and moralized consumption which measure responses to authenticity claims but do not operationalize populist frames; (3) computational discourse and propaganda detection which develop classifiers for political frames and affect but focus on political actors and single-label tasks. Limitations: prior computational methods often use single-label or sentiment-only models, lack intensity scales, and are not validated against behavioral outcomes (sales, conversion). Cross-lingual and market-agnostic annotation protocols are underdeveloped, producing poor transfer across languages. Causal work linking rhetorical intensity to purchases is scarce; identification strategies are limited and often lack behavioral ground-truth from scanner or A/B data. Ethical and governance constraints (platform TOS, GDPR) are also under-specified in prior approaches.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introduces a reproducible pipeline to detect and quantify "consumption populism"—corporate or executive communications that construct a people-versus-elite moral frame to shape consumption—and to test whether such messaging causally affects consumer behavior. We develop a sentence-level, multi-label annotation scheme with a 0–3 intensity scale for core frames (people-vs-elite, crisis/moralization, authenticity, nationalist sourcing, price-fairness, institutional bypass), build multilingual transformer classifiers, and link classifier intensity to behavioral data from lab and field experiments and market scanner panels. The main contribution is an integrated measurement-to-causality workflow: validated multilingual NLP measures, pre-registered lab and field tests (randomized stimuli and product-page A/B), and quasi-experimental estimators (staggered DiD, synthetic control, continuous-dose models). Expected outcomes include per-label detection performance, calibrated intensity measures, and causal estimates of short-term purchase effects and mediating psychological mechanisms (perceived authenticity, identity alignment). The pipeline is designed for transparency, cross-lingual validity, and policy-relevant insights on ethical risks of populist corporate messaging.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Annotated seed corpus: 2,000-5,000 sentences per language sampled from CEO letters (EDGAR), press releases, branded social posts (Meta/X via API or archived copies), and advertising creatives (Kantar/AdIntel or scraped archives). (2) Behavioral: lab experiment N=600 (2x2: populist framing vs neutral × authenticity claim vs none). (3) Field A/B: randomized product-page copy on D2C or retailer partner; target 20,000 impressions per arm (baseline conversion 2%, detect 0.5pp lift). (4) Panel sales: Nielsen/IRI market-day/store level scanner data for staggered DiD and synthetic control analyses. Baselines: (A) sentiment-only classifier; (B) single-label people-vs-elite classifier; (C) multilingual transformer without intensity calibration. NLP training and splits: fine-tune XLM-R with translate-train where needed; splits 70% train / 15% val / 15% test stratified by label and intensity. Annotation reliability: double-code ≥20% overlap; report Cohen's kappa and Krippendorff's alpha (targets ≥0.75 and ≥0.70). Evaluation metrics (NLP): per-label precision, recall, F1 (micro and macro), exact-match multi-label, Brier score for calibration, correlation (Pearson) of intensity scores with human-rated intensity. Behavioral metrics: lab — purchase intent (binary), willingness-to-pay (continuous), perceived authenticity (Likert), identity alignment (Likert); field — conversion rate, basket value, 30-day repeat purchase. Causal estimators: randomized contrasts for lab and A/B; staggered DiD with Sun &amp; Abraham or Callaway &amp; Sant’Anna for event studies; generalized synthetic control for single-firm shocks; continuous-dose fixed-effects panel regression for intensity effects with firm×market clustering. Pre-specified covariates: product category, baseline price, seasonality dummies, firm fixed effects, market fixed effects. Ablation studies: (1) remove intensity (convert to binary) to compare power and effect sizes; (2) compare translate-train vs native-language training to quantify transfer degradation; (3) compare multi-label vs single-label performance on behavioral prediction. Reporting: precision/recall per label, calibration plots, treatment effect estimates with clustered SEs, placebo tests, and robustness to multiple comparisons (Benjamini-Hochberg).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low prevalence of some frames may reduce classifier reliability and inflate variance; translate-train may degrade intensity semantics (reduced F1). Data and evaluation biases: corporate communications are self-selected and may not represent all sectors or informal messaging; lab samples may not generalize to real-market consumers. Scalability and compute: fine-tuning multilingual transformers across many languages requires substantial GPU resources and annotation costs. Legal and privacy constraints: access to platform ad logs and scanner panels may be blocked by TOS or NDAs; GDPR/CCPA restrictions limit linking user-level exposure to purchases. Identification limits: quasi-experimental estimators rely on plausibly exogenous events; unobserved confounders could bias DiD/synthetic control estimates. Ethical limits: risk of inadvertently designing persuasive messages that manipulate vulnerable groups; prohibition of political attribute targeting restricts some experimental designs. Generalization limits: findings may not transfer across cultures where populist devices differ semantically; intensity anchors may need revalidation per language and market.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