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beyond_detection_ai_use</w:t>
      </w:r>
    </w:p>
    <w:p>
      <w:r>
        <w:t xml:space="preserve"> </w:t>
      </w:r>
    </w:p>
    <w:p>
      <w:pPr>
        <w:pStyle w:val="Heading2"/>
      </w:pPr>
      <w:r>
        <w:t>Title</w:t>
      </w:r>
    </w:p>
    <w:p>
      <w:r>
        <w:t>Personalized multimodal anomaly scoring and ethnographic adjudication for detecting student AI use and concealment in online assessments</w:t>
      </w:r>
    </w:p>
    <w:p>
      <w:r>
        <w:t xml:space="preserve"> </w:t>
      </w:r>
    </w:p>
    <w:p>
      <w:pPr>
        <w:pStyle w:val="Heading2"/>
      </w:pPr>
      <w:r>
        <w:t>Short Hypothesis</w:t>
      </w:r>
    </w:p>
    <w:p>
      <w:r>
        <w:t>A personalized multimodal anomaly score that integrates stylometry, revision telemetry, paste/keystroke signals, and provenance evidence will increase sensitivity for detecting submissions with ≥20% AI-origin content at a held-out false positive rate ≤5% compared to population-level stylometric detectors.</w:t>
      </w:r>
    </w:p>
    <w:p>
      <w:r>
        <w:t xml:space="preserve"> </w:t>
      </w:r>
    </w:p>
    <w:p>
      <w:pPr>
        <w:pStyle w:val="Heading2"/>
      </w:pPr>
      <w:r>
        <w:t>Related Work</w:t>
      </w:r>
    </w:p>
    <w:p>
      <w:r>
        <w:t>Existing work on detecting AI-generated student text falls into several families: stylometry-based models that detect shifts in writing style (stylometry = measurable writing-style features), single-shot detectors that use statistical or classifier cues on final text, telemetry-based methods that use timing and revision logs, and watermarking or prompt-output comparison approaches that rely on model-side traces. Prior multimodal efforts combine text and limited behavioral signals but often use population-level baselines that ignore individual writing history. Adversarial studies show paraphrase, translation, and human-in-the-loop edits reduce detector accuracy. Fairness and privacy analyses are emerging but lack standardized audits and explicit remediation rules. Qualitative and ethnographic validations are rare, leaving detectors detached from task context and student meaning-making. Gaps: reliance on single modalities or population priors, weak measurement rules for token-level AI contribution when prompts/outputs are missing, limited uncertainty quantification, insufficient adversarial realism, and underpowered subgroup fairness evaluations.</w:t>
      </w:r>
    </w:p>
    <w:p>
      <w:r>
        <w:t xml:space="preserve"> </w:t>
      </w:r>
    </w:p>
    <w:p>
      <w:pPr>
        <w:pStyle w:val="Heading2"/>
      </w:pPr>
      <w:r>
        <w:t>Abstract</w:t>
      </w:r>
    </w:p>
    <w:p>
      <w:r>
        <w:t>We study how students use and hide generative AI in online assessments and evaluate an operational alternative to detection-only approaches. We propose a personalized multimodal anomaly score that fuses stylometry (writing-style features), draft revision telemetry, paste and keystroke events, and provenance indicators into a single continuous measure with quantified uncertainty. We pair algorithmic signals with a reproducible 4-tier rubric (none, light edits, partial assistance, substantial AI) and ethnographic anchors to ground human adjudication. Main contributions are (1) a formal decision rule for converting heterogeneous evidence into a percent-AI estimate with uncertainty, (2) staged adversarial evaluation using synthetic and human-in-the-loop obfuscation at calibrated edit rates, and (3) a pre-registered evaluation protocol including fairness audits across protected groups and clear operating thresholds tied to human review. Expected outcome: a reproducible, testable pipeline that improves detection sensitivity at low false positive rates while providing interpretable evidence for fair, contextual adjudication in authentic assessment settings.</w:t>
      </w:r>
    </w:p>
    <w:p>
      <w:r>
        <w:t xml:space="preserve"> </w:t>
      </w:r>
    </w:p>
    <w:p>
      <w:pPr>
        <w:pStyle w:val="Heading2"/>
      </w:pPr>
      <w:r>
        <w:t>Experiments</w:t>
      </w:r>
    </w:p>
    <w:p>
      <w:r>
        <w:t>Datasets: Collect staged authentic-assessment corpora from 3 courses across disciplines with student consent: (a) baseline cohort submissions with full revision histories and optional defense transcripts, (b) adversarial corpora generated in-house (LLM outputs, instruction-tuned outputs), and (c) human-in-the-loop paraphrase sets at controlled edit rates (10%, 30%, 50%, 70%, 90%) plus translation roundtrips and timing-spoofed samples. Hold-out: use student-level splits (no student overlap), nested cross-validation for tuning, course-level folds for generalization, reserve a final untouched test fold. Baselines: population-level stylometry classifier (text-only), watermark/prompt-matching when outputs available, telemetry-only anomaly model, and a simple ensemble of population stylometry + telemetry. Proposed model: personalized multimodal anomaly scoring with Bayesian uncertainty (personalization = student-level baseline learned from ≥3 prior submissions or shrink toward cohort prior). Metrics: primary = sensitivity at FPR=5% with 95% bootstrap CI; secondary = ROC AUC, precision@thresholds, Brier score (calibration), reliability diagrams, subgroup FPR/FNR/PPV with bootstrap CIs, inter-rater reliability for rubric labels measured by ICC and Krippendorff's alpha, and adversarial success rate by tier. Experimental setup: pre-register thresholds (advisory ≥0.60, adjudication ≥0.80) and calibration targets. Ablations: remove personalization (population prior), remove telemetry features (text-only), remove paste/keystroke features, and remove ethnographic anchors (algorithm-only), compare primary metric across ablations. Power and pilots: run staged pilots 100→300→1,000 cases; use the 100-case pilot to estimate label noise and ICC; scale to N for target sensitivity ±0.05 CI using observed prevalence and ICC. Adversary study design: recruit consented human editors, randomize edit-rate targets, log edit diffs, and report detector sensitivity by edit-rate. Fairness tests: pre-specify logistic-regression DIF and bootstrap groupwise comparisons with multiple-comparison correction. Reporting: publish anonymized feature sets and synthetic adversarial corpora; keep raw artifacts under controlled agreements.</w:t>
      </w:r>
    </w:p>
    <w:p>
      <w:r>
        <w:t xml:space="preserve"> </w:t>
      </w:r>
    </w:p>
    <w:p>
      <w:pPr>
        <w:pStyle w:val="Heading2"/>
      </w:pPr>
      <w:r>
        <w:t>Risk Factors And Limitations</w:t>
      </w:r>
    </w:p>
    <w:p>
      <w:r>
        <w:t>Technical detection failure modes: adversarial paraphrase and high-rate human edits can reduce sensitivity; timing spoofing may defeat keystroke signals; mixed human-AI blends create ambiguity in percent-AI estimates. Measurement limits: percent-AI estimation is uncertain when students do not provide prompts/outputs or when edits are paraphrased; uncertainty quantification may still be wide for cold-start students. Fairness and bias: subgroup performance gaps may persist if features correlate with language background, disability, or cultural writing norms. Privacy and legal constraints: keystroke and audio data raise re-identification risk and may be refused by participants, reducing available signals and sample representativeness. Scalability: high-fidelity telemetry storage and model personalization require compute and storage that may not scale to very large enrollments. Generalization limits: models trained on a few courses or institutions may not transfer to other disciplines, languages, or task types. Evaluation limits: staged pilots may be underpowered for some subgroup fairness tests without planned scaling. Governance constraints: operational thresholds and appeals processes may require institutional approvals that delay deployment.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