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homogeneity_risk_perceptions_systemic_risk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Text mining of corporate risk factor disclosures to estimate perception homogeneity and test its causal effect on systemic financial risk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sustained increase in cross-firm homogeneity of perceived risks, measured from firms' risk disclosures, causally raises systemic financial risk (measured by ΔES99 and SRISK) within the subsequent quarter.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split into (1) text-based risk extraction that creates per-firm risk scores using keyword counts, topic models, or pre-trained language models; (2) homogeneity/commonality measures using variance, entropy, or principal components to summarize cross-sectional alignment; and (3) systemic risk measurement and network contagion models using market data, balance sheets, and imputed exposure networks. Limitations: text methods often suffer from measurement noise and limited annotation protocols, reducing score reliability; homogeneity measures rarely propagate NLP uncertainty into downstream inference; identification strategies in prior work do not consistently address reverse causality or weak instruments in staggered settings; network exposure data are often incomplete and imputation uncertainty is underreported; and many studies do not integrate behavioral or survey-based calibration for agent-based simulations. These gaps leave causal claims about homogeneity and systemic risk fragile and poorly quantified.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alignment of corporate risk perceptions increases systemic financial risk. We extract firm-level perceived risks from regulatory filings, earnings transcripts, and press releases using fine-tuned finance-domain language models and an annotated gold set. We summarize cross-firm alignment with a time-varying homogeneity metric: the share of variance explained by the first principal component of weekly perceived-risk scores computed on rolling windows. To identify causality, we exploit staggered timing of administratively scheduled disclosures and other exogenous information arrivals as instruments and implement event-study and difference-in-differences estimators, with measurement-error corrections (SIMEX and Bayesian latent-score models). We link homogeneity shocks to systemic outcomes (ΔES99, SRISK, extreme co-default probabilities) using multiple imputations of exposure networks and agent-based contagion simulations calibrated by behavioral survey experiments. The main contribution is an end-to-end pipeline that quantifies homogeneity, propagates NLP uncertainty, and provides robust causal estimates of its impact on systemic tail risk, delivering credible effect sizes and uncertainty bounds relevant for policy.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Text corpus: 10-K/10-Q MD&amp;A, earnings call transcripts, press releases for 500–1,000 public firms, 2010–2020; (2) Market data: daily prices, implied volatility, CDS spreads, trading volumes; (3) Balance-sheet: FR Y-9C, Call Reports, SEC filings; (4) Counterparty exposures: TRACE, DTCC summaries, Orbis where available; (5) Behavioral: pilot surveys and vignette experiments from risk managers. Annotation: gold set = 2,000 sentences stratified by firm size and sector, 3 annotators per item, compute ICC. NLP pipelines: baseline A: keyword counts and TF-IDF; baseline B: pre-trained FinBERT embeddings without fine-tune; proposed: fine-tuned FinBERT/Longformer classifier producing sentence-level risk mentions, modality, and severity; aggregate to weekly firm risk scores. Homogeneity metrics: primary = PC1 share on 8-week rolling window; secondary = cross-sectional SD, Shannon entropy, mean pairwise cosine similarity. Network imputations: max-entropy constrained to marginals and Bayesian ERGM with sector homophily; generate 100 and 500 realizations (ablation: 100 vs 500). Identification: event-study and Callaway–Sant’Anna staggered DiD using staggered disclosure timing as primary IV; backups = rating-action timing and timezone news shocks. Measurement-error correction: compare no-correction, SIMEX, and Bayesian latent-score propagation. ABM calibration: map survey herding Likert to agent herding α, calibrate (α, σ, β) with ABC using distance on default cluster size distribution and SRISK moments. Baselines for causal effect: market-only homogeneity (implied vol correlations), keyword-based homogeneity, and no-NLP model. Metrics: classifier AUC and Brier score; ICC for annotation; RMSE and CRPS for continuous risk scores; first-stage F-statistics; ATT and group-time effects with robust SEs; ΔES99, change in SRISK, probability of &gt;N simultaneous defaults; VaR/ES backtests (Kupiec, Christoffersen). Ablation studies: (i) measurement-error correction impact on ATT; (ii) homogeneity metric choice (PC1 vs SD vs entropy); (iii) IV choice and weak-IV robust estimators (Anderson–Rubin, LIML) comparison; (iv) network imputation count (100 vs 500) effect on systemic metrics. Acceptance criteria: classifier AUC&gt;0.75 on held-out gold set, first-stage F&gt;10 for primary IV, and consistent sign/magnitude of ATT across SIMEX/Bayesian corrections and across major imputations.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NLP measurement error: mislabeling risk mentions or severity reduces score validity; annotation subjectivity may bias ICC. 2) Reverse causality and weak instruments: staggered scheduling may correlate with unobserved sector stress, and IVs could be weak, limiting causal claims. 3) Network data gaps: incomplete exposure data force imputation; results depend on imputation model and number of realizations. 4) Dependence and inference: rolling windows and network autocorrelation violate independence assumptions, complicating standard errors and p-values. 5) Rare-event power: tail metrics (ES99, simultaneous defaults) are rare; sample size may be insufficient without pooling or many realizations. 6) Computational cost: fine-tuning transformers, many imputations, Bayesian MCMC, and ABM sweeps require substantial GPU/CPU resources. 7) Privacy and utility trade-off: differential privacy or synthetic releases may reduce usefulness of embeddings/annotations. 8) Limited generalization: results may not transfer across countries, private firms, or periods with different disclosure regimes.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