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military_boards_audit_earnings_psx</w:t>
      </w:r>
    </w:p>
    <w:p>
      <w:r>
        <w:t xml:space="preserve"> </w:t>
      </w:r>
    </w:p>
    <w:p>
      <w:pPr>
        <w:pStyle w:val="Heading2"/>
      </w:pPr>
      <w:r>
        <w:t>Title</w:t>
      </w:r>
    </w:p>
    <w:p>
      <w:r>
        <w:t>Staggered difference-in-differences and instrumental-variables analysis of military-experienced directors on audit quality and earnings management in Pakistan non-financial firms (2010–2022)</w:t>
      </w:r>
    </w:p>
    <w:p>
      <w:r>
        <w:t xml:space="preserve"> </w:t>
      </w:r>
    </w:p>
    <w:p>
      <w:pPr>
        <w:pStyle w:val="Heading2"/>
      </w:pPr>
      <w:r>
        <w:t>Short Hypothesis</w:t>
      </w:r>
    </w:p>
    <w:p>
      <w:r>
        <w:t>Appointment of military-experienced directors to corporate boards causally reduces firm earnings management, and this reduction operates through improvements in audit quality.</w:t>
      </w:r>
    </w:p>
    <w:p>
      <w:r>
        <w:t xml:space="preserve"> </w:t>
      </w:r>
    </w:p>
    <w:p>
      <w:pPr>
        <w:pStyle w:val="Heading2"/>
      </w:pPr>
      <w:r>
        <w:t>Related Work</w:t>
      </w:r>
    </w:p>
    <w:p>
      <w:r>
        <w:t>Existing research links board composition to earnings management and links audit quality to lower earnings manipulation. Common empirical approaches use cross-sectional OLS with firm and year fixed effects, naive two-way difference-in-differences, event studies, and basic two-stage least squares with geographic instruments. Prior work often treats accrual-based and real earnings management together or studies only one type, uses imperfect measures of military background, and relies on instruments or DiD estimators that do not account for staggered treatment timing or heterogeneous treatment effects. Mediation via audit quality is usually explored with simple regression mediation rather than formally with causal mediation methods. Validation of military-coding and explicit weak-instrument diagnostics are frequently missing. Many studies also focus on developed markets, limiting evidence for emerging markets where firm-auditor relationships and director networks differ. These gaps leave unresolved identification threats from selection into appointment, measurement error in director coding, weak or invalid instruments, and incorrect inference under staggered adoption.</w:t>
      </w:r>
    </w:p>
    <w:p>
      <w:r>
        <w:t xml:space="preserve"> </w:t>
      </w:r>
    </w:p>
    <w:p>
      <w:pPr>
        <w:pStyle w:val="Heading2"/>
      </w:pPr>
      <w:r>
        <w:t>Abstract</w:t>
      </w:r>
    </w:p>
    <w:p>
      <w:r>
        <w:t>This study tests whether placing military-experienced directors on corporate boards reduces earnings management in non-financial firms listed on the Pakistan Stock Exchange from 2010 to 2022, and whether improvements in audit quality mediate any effect. We construct a panel linking firm financials, audit outcomes, and manually validated director military backgrounds. Identification combines modern staggered difference-in-differences (group-time ATT and corrected event studies) to handle varying appointment timing, and distance-weighted veteran-supply instruments derived from major military reorganization events to address selection into appointments. We pre-register EMSCORE, a composite earnings-management index that separates accrual-based and real activity manipulation, and mediation estimands using formal causal-mediation methods. Main contributions are (1) causal estimates of military-director effects on two types of earnings management in an emerging market, (2) evidence on the audit-quality channel as a mediator, and (3) a transparent pre-registered pipeline with validation of military coding, weak-IV diagnostics, and sensitivity analyses. Expected outcomes include credible effect sizes, policy-relevant findings on board disclosure, and reproducible code and synthetic data artifacts.</w:t>
      </w:r>
    </w:p>
    <w:p>
      <w:r>
        <w:t xml:space="preserve"> </w:t>
      </w:r>
    </w:p>
    <w:p>
      <w:pPr>
        <w:pStyle w:val="Heading2"/>
      </w:pPr>
      <w:r>
        <w:t>Experiments</w:t>
      </w:r>
    </w:p>
    <w:p>
      <w:r>
        <w:t>Datasets: (1) Firm financials and identifiers for Pakistan Stock Exchange non-financial firms, 2010-2022 (panel). (2) Director biographies and appointment dates from BoardEx, proxy statements, and manual coding (military flag, rank_type, branch, years_of_service, audit-committee roles). (3) Audit data (auditor identity, audit fees, restatements, opinion modifications). (4) Regional veteran-supply and military-base reorganization events to build distance-weighted instruments. (5) Validation subsample (n≈300 director–firm–year) double-coded for interrater reliability. Baselines: (A) OLS with firm and year fixed effects, (B) naive two-way DiD, (C) naive event study, (D) standard 2SLS IV (distance-weighted veteran exposure), (E) staggered-DiD using Callaway &amp; Sant'Anna for group-time ATT and Sun &amp; Abraham for event-study corrections (primary), (F) LIML/Fuller and Anderson–Rubin inference if weak-IV suspected, (G) causal mediation using Imai-style mediation with sensitivity. Outcomes and variables: EMSCORE (pre-registered composite of standardized Modified-Jones discretionary accruals, Dechow–Dichev accrual quality, and Roychowdhury real-activity abnormalities), and component outcomes (accrual-based EM, real EM). Audit-quality mediators: Big-4 indicator, audit fees (log), restatement indicator, modified opinion indicator. Evaluation metrics and diagnostics: point estimates and clustered standard errors, first-stage F-statistic (pre-specified threshold F&gt;10), Kleibergen–Paap rk, Anderson–Rubin confidence sets, Hansen J overidentification test, pre-trend joint F-tests (leads), placebo-treatment p-values, mediation proportion and sensitivity parameter rho, Cohen's kappa for military coding reliability, minimal detectable effect (MDE) and power curves (alpha=0.05, power=0.8) reported under plausible cluster counts. Experimental setup: sample: all matched firm-years after linking; main window: event window ±5 years around appointment; clustering: two-way at firm and auditor (wild-cluster bootstrap if cluster count small); covariates: lagged firm fundamentals, governance controls, industry×year and region×year fixed effects. Ablations and comparisons: (1) exclude firms within empirically determined buffer around base reorganization (buffer series 0–100 km), (2) alternate EMSCORE weighting and component-level regressions, (3) compare staggered-DiD vs naive DiD and vs synthetic-control/matrix-completion when treated-cohort count is small, (4) IV set variations and Conley plausible-exogeneity sensitivity, (5) mediation with and without instrumented mediator, (6) different clustering schemes (firm only, firm+auditor), (7) robustness to linkage error via probabilistic reweighting based on validation sample. Report pre-registered primary estimand (average treatment effect on EMSCORE for treated cohorts) and all diagnostics.</w:t>
      </w:r>
    </w:p>
    <w:p>
      <w:r>
        <w:t xml:space="preserve"> </w:t>
      </w:r>
    </w:p>
    <w:p>
      <w:pPr>
        <w:pStyle w:val="Heading2"/>
      </w:pPr>
      <w:r>
        <w:t>Risk Factors And Limitations</w:t>
      </w:r>
    </w:p>
    <w:p>
      <w:r>
        <w:t>Measurement error: misclassification of military experience can bias estimates; validation subsample may be small and imperfect (Cohen's kappa may fall below target). Instrument validity: distance-weighted veteran-supply instruments may be weak or violate exclusion (local economic spillovers), producing biased IV estimates. Small number of treated events or few auditor clusters: limits power and reliable clustered inference (wild bootstrap may still be imprecise). Generalizability: results from Pakistan may not transfer to other countries with different military-corporate relations. Data access and licensing: proprietary source restrictions may limit code and data sharing; synthetic data may not capture all joint structure. Endogeneity and unobserved selection: even modern staggered-DiD and IV approaches may not fully remove selection via hidden networks or simultaneous strategic appointments. Mediation identification: causal mediation relies on strong assumptions (no mediator–outcome unobserved confounding) that may not hold, making mediator estimates sensitive. Spillovers and interference: firms may be affected by nearby treatment (partial interference), complicating identification. Computational constraints: matrix-completion or synthetic-control at scale and many sensitivity runs may require substantial compute and time.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