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saudi_21c_skill_integration</w:t>
      </w:r>
    </w:p>
    <w:p>
      <w:r>
        <w:t xml:space="preserve"> </w:t>
      </w:r>
    </w:p>
    <w:p>
      <w:pPr>
        <w:pStyle w:val="Heading2"/>
      </w:pPr>
      <w:r>
        <w:t>Title</w:t>
      </w:r>
    </w:p>
    <w:p>
      <w:r>
        <w:t>A sequential exploratory mixed-methods evaluation of English and mathematics teachers' integration of 21st-century skills in Saudi classrooms</w:t>
      </w:r>
    </w:p>
    <w:p>
      <w:r>
        <w:t xml:space="preserve"> </w:t>
      </w:r>
    </w:p>
    <w:p>
      <w:pPr>
        <w:pStyle w:val="Heading2"/>
      </w:pPr>
      <w:r>
        <w:t>Short Hypothesis</w:t>
      </w:r>
    </w:p>
    <w:p>
      <w:r>
        <w:t>Higher teacher enactment fidelity of authentic, collaborative, and inquiry-based tasks causes higher student performance-task scores for 21st-century skills (communication, collaboration, creativity, critical thinking) than lower enactment fidelity.</w:t>
      </w:r>
    </w:p>
    <w:p>
      <w:r>
        <w:t xml:space="preserve"> </w:t>
      </w:r>
    </w:p>
    <w:p>
      <w:pPr>
        <w:pStyle w:val="Heading2"/>
      </w:pPr>
      <w:r>
        <w:t>Related Work</w:t>
      </w:r>
    </w:p>
    <w:p>
      <w:r>
        <w:t>Existing research uses frameworks for 21st-century skills (e.g., P21-style and international assessment frameworks) and shows that professional development (PD), task design, and coaching can improve classroom practice. Prior measurement approaches often rely on self-report, coarse observation rubrics, or unidisciplinary tasks, which reduce reliability and comparability. Studies using item-response models (Rasch/IRT) are less common in classroom rubrics, and bilingual measurement equivalence (Arabic/English) is rarely tested. Few prior studies combine disciplined observation, qualitative interviews, and a large teacher survey with rigorous multilevel causal estimates in the Saudi context. Limitations in prior work include small or convenience samples, unclear unit-of-assignment vs unit-of-analysis, limited handling of cluster dependence (ICCs), weak interrater reliability procedures, and inadequate preregistered inference rules for low numbers of clusters. These gaps leave causal links between PD, teacher enactment, and student 21st-century skill outcomes unresolved in Saudi EFL and math classrooms.</w:t>
      </w:r>
    </w:p>
    <w:p>
      <w:r>
        <w:t xml:space="preserve"> </w:t>
      </w:r>
    </w:p>
    <w:p>
      <w:pPr>
        <w:pStyle w:val="Heading2"/>
      </w:pPr>
      <w:r>
        <w:t>Abstract</w:t>
      </w:r>
    </w:p>
    <w:p>
      <w:r>
        <w:t>This study examines whether and how English and mathematics teachers in Saudi Arabia integrate four 21st-century skills—communication, collaboration, creativity, critical thinking—into classroom instruction, and which barriers limit that integration. We use a sequential exploratory mixed-methods design: classroom observations and semi-structured interviews will inform a teacher survey and performance tasks. The primary contribution is a discipline-sensitive measurement system that produces Rasch-scaled student performance-task scores (Rasch: a statistical method that turns rubric scores into interval measures) and validated observation rubrics for EFL and mathematics. Analyses use multilevel models and mediation to test causal pathways from PD and enactment fidelity to proximal classroom outcomes and short-term student gains. Expected outcomes include empirically justified fidelity thresholds, evidence on major barriers in the Saudi context, and an open instrument set to support MOE-aligned PD and curriculum exemplars.</w:t>
      </w:r>
    </w:p>
    <w:p>
      <w:r>
        <w:t xml:space="preserve"> </w:t>
      </w:r>
    </w:p>
    <w:p>
      <w:pPr>
        <w:pStyle w:val="Heading2"/>
      </w:pPr>
      <w:r>
        <w:t>Experiments</w:t>
      </w:r>
    </w:p>
    <w:p>
      <w:r>
        <w:t>Datasets: (1) Qualitative: 30–40 semi-structured teacher interviews across regions and school types; (2) Observations: video and live coding of ~20% of sampled lessons; (3) Survey: 350–450 teachers across ~70–90 schools (~4–6 teachers/school); (4) Student tasks: Rasch-scored performance tasks administered pre and post intervention to targeted classes. Design: Primary design = cluster-RCT randomizing at school level, stratified by region and school type; fallback = matched cluster quasi-experiment with propensity-score weighting. Target sample scenarios: primary scenario 25–35 schools per arm with ~20 students per target class; small-k scenario documented (8–12 schools/arm). Baselines: business-as-usual PD control; active baseline PD without coaching. Baselines/ablations: full PD (content + coaching + video reflection) vs PD-no-coaching vs PD-no-video. Evaluation metrics: primary = Rasch-scaled student performance-task score (interval measure from partial-credit Rasch model); secondary = coded discourse quality (observer rubric), student engagement rates (time-on-task), subject achievement scores, and teacher enactment fidelity composite (0–1). Psychometric checks: CFA (report RMSEA, CFI, TLI), reliability omega, Rasch infit/outfit (acceptable 0.7–1.3), person/item reliability, DIF analyses (flag &gt;0.5 logits). Analysis: three-level mixed model (students within classes within schools) with random intercepts, covariate adjustment (baseline task score, grade, sex, school-type, region), cluster-robust SEs, and wild cluster bootstrap for small-k inference; mediation via multilevel SEM (Monte Carlo CIs). Pre-registered thresholds: interrater ICC ≥0.70, Rasch fit rules as above, fidelity cut-points high ≥0.75 medium 0.40–0.75 low &lt;0.40. Ablation study: estimate treatment effects for full PD vs PD-no-coaching to isolate coaching contribution; fidelity subgroup analysis (high vs low) to estimate dose response. Multiplicity: hierarchical testing (primary first) with FDR-adjusted p-values for secondary families.</w:t>
      </w:r>
    </w:p>
    <w:p>
      <w:r>
        <w:t xml:space="preserve"> </w:t>
      </w:r>
    </w:p>
    <w:p>
      <w:pPr>
        <w:pStyle w:val="Heading2"/>
      </w:pPr>
      <w:r>
        <w:t>Risk Factors And Limitations</w:t>
      </w:r>
    </w:p>
    <w:p>
      <w:r>
        <w:t>MOE access and approvals (delay or denial) may block school-level randomization and reduce sample representativeness. Small number of clusters (schools) limits statistical power and requires small-sample inference (wild bootstrap or randomization inference); treatment effect detection may be beyond reach for small-k designs. Measurement risks: poor interrater reliability, misfit items in Rasch models, and unresolved DIF across Arabic/English versions limit comparability. Reactivity/Hawthorne effects from video/observation may bias enactment measures. Sample bias: nonresponse or differential attrition can distort estimates. Generalization limits: findings may not transfer to private schools or regions with very different ICT resources. Resource limits: per-school costs, travel, and coder time may constrain achievable sample sizes and frequency of observations. Ethical/data risks: video of minors requires robust consent and secure storage; failure to operationalize governance can halt dissemination. Technical limits: multilevel multiple imputation and Rasch linking across languages need moderate sample sizes (pilot required) and may fail if item bank is too small.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