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reproducing_inequality_social_capital_digital_literacy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Multilevel regression and mediation analysis of how social capital, digital literacy, and socioeconomic status affect access to higher education among Chinese high school graduates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social capital increases the probability that Chinese high school graduates enroll in higher education by improving digital literacy, and this indirect effect varies by socioeconomic status.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separates three strands: (1) social capital studies show that family and network resources correlate with college access but often rely on cross-sectional associations and coarse measures of ties, limiting causal claims; (2) digital-divide research documents links between connectivity, digital skills, and educational opportunity but often uses self-report measures that miss real task performance and suffers from measurement error; (3) methods literature applies mediation analysis and quasi-experimental designs (instrumental variables, staggered rollouts, difference-in-differences) to study policy effects. Limitations across these streams include weak or poorly validated instruments, small or non-representative samples for mediation, inadequate correction for measurement error (latent-variable models are underused), sparse attention to interference/spillovers and mobility, and few pre-registered MDEs (minimum detectable effects) for subgroup indirect effects. Prior work rarely integrates validated digital-performance tasks, multilevel SEM (structural equation models) for latent constructs, and robustness checks such as Conley bounds, weak-IV inference, or spatial spillover tests in a single preregistered pipeline.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whether social capital shapes Chinese high school graduates' access to higher education by improving digital literacy, and how socioeconomic status (SES) moderates this pathway. Using a survey of 629 graduates sampled across western, central, and eastern provinces, we combine validated self-report items with a short performance task that measures college-application portal navigation to form a composite digital-literacy construct. We apply multilevel regression and mediation models with latent-variable measurement (to reduce measurement error), and triangulate causal identification using quasi-experimental sources (district broadband rollout timing and phased counselor staffing) with instrumental-variable and staggered-DID estimators. Pre-registered sensitivity analyses include Conley plausibly-exogenous bounds, weak-IV robust methods, spatial-spillover tests, and MNAR attrition diagnostics. The main contribution is a reproducible, preregistered framework that links network resources to concrete digital skills and enrollment outcomes while estimating heterogeneous indirect effects by SES. Expected outcomes are defensible estimates of mediated effects, explicit minimum-detectable-effect targets, and policy-relevant insight into how digital skills amplify or constrain social-capital advantages.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survey (n=629) of Chinese high school graduates across west/central/east provinces including: demographics, parental SES, social-capital items (ties, informational support), 6-8 digital self-report items, one 5-7 minute college-application portal performance task with time-stamps and error codes; district-level administrative data: broadband rollout month, ARP/E-rate-like funding disbursements, counselor staffing waves; school identifiers for clustering. Baselines: (A) logistic/OLS regressions of enrollment on social capital and SES with covariates; (B) standard mediation via product-of-coefficients in single-level SEM; (C) multilevel SEM with latent constructs; (D) IV estimation using district broadband-rollout timing; (E) staggered DID (Callaway–Sant’Anna) for rollout timing; (F) IPW plus multiple imputation (MICE) for missing data. Evaluation metrics: primary outcome: binary college enrollment (report odds ratios and marginal effects); mediation metrics: standardized indirect effect sizes and confidence intervals; first-stage diagnostics: F-statistic and partial R2; psychometrics: Cronbach's alpha, CFA fit indices (CFI, RMSEA), IRT item slopes; inference checks: p-values, bootstrap CIs clustered at district, wild-cluster bootstrap where clusters are few. Experimental setup: estimate models with covariates (baseline achievement, school fixed effects, cohort year), cluster-robust SE at district, and pre-specified covariate set. Missing data: MICE with cluster indicators; report imputation diagnostics. Sensitivity analyses: (1) Conley bounds grid for direct IV effects; (2) AR/LIML if first-stage F&lt;=10 (weak-IV robust methods); (3) Lee bounds and pattern-mixture selection models for MNAR attrition; (4) spatial models (spatial lag regressions) and border-RD tests to detect spillovers; (5) placebo rollout dates and geographic/time permutations for instrument falsification. Ablation studies: compare mediation estimates using (i) self-report only, (ii) performance-task only, (iii) standardized composite; and compare mediation estimators: (a) standard SEM, (b) IV-SEM, (c) sequential g-estimation for longitudinal mediators (if repeated measurements exist). Power and MDEs: run Monte Carlo multilevel simulations with ICC in {0.02,0.05,0.10}, cluster counts {30,60,120}, and attrition rates {10%,25%} to pre-specify minimum-detectable standardized indirect effects for primary and key subgroup (SES x region) tests. Reproducibility: publish preregistered analysis scripts, power-sim code, and synthetic dataset for public use.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Weak instruments: district rollout timing may be correlated with other district changes, yielding weak or invalid IVs (first-stage F&lt;=10). Measurement error: self-report digital items and small performance tasks may not fully capture digital literacy; latent models help but require sufficient item quality. Sample size and power: n=629 may be underpowered for small mediation effects and intersectional subgroup tests; MDEs may exceed effect sizes of interest. Attrition and MNAR bias: nonrandom dropout could bias mediation; Lee bounds and pattern-mixture models may be inconclusive. Interference and mobility: student movement between districts and spillovers across borders can violate SUTVA (no interference); spatial tests may have limited power. Differential privacy/noise: applying DP to public aggregates adds noise that complicates inference unless adjustments are incorporated. Generalizability: results from sampled provinces may not extend to all Chinese regions or to different policy contexts. Computational limits: multilevel SEM with IV and bootstrapped clustered CIs is compute-intensive and may require high compute time. Ethical/privacy risks: sensitive SES and digital-trace data require strict governance; re-identification risk may limit data sharing depth.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