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gendered_switchboard_pilot</w:t>
      </w:r>
    </w:p>
    <w:p>
      <w:r>
        <w:t xml:space="preserve"> </w:t>
      </w:r>
    </w:p>
    <w:p>
      <w:pPr>
        <w:pStyle w:val="Heading2"/>
      </w:pPr>
      <w:r>
        <w:t>Title</w:t>
      </w:r>
    </w:p>
    <w:p>
      <w:r>
        <w:t>A corpus-based variationist study of lexical, grammatical, and pragmatic gender differences in telephone conversations using mixed-effects count models</w:t>
      </w:r>
    </w:p>
    <w:p>
      <w:r>
        <w:t xml:space="preserve"> </w:t>
      </w:r>
    </w:p>
    <w:p>
      <w:pPr>
        <w:pStyle w:val="Heading2"/>
      </w:pPr>
      <w:r>
        <w:t>Short Hypothesis</w:t>
      </w:r>
    </w:p>
    <w:p>
      <w:r>
        <w:t>Self-identified speaker gender causes systematic differences in the rate of facilitative tag questions per 1,000 words in the Switchboard telephone corpus, controlling for age, dialect region, and call type.</w:t>
      </w:r>
    </w:p>
    <w:p>
      <w:r>
        <w:t xml:space="preserve"> </w:t>
      </w:r>
    </w:p>
    <w:p>
      <w:pPr>
        <w:pStyle w:val="Heading2"/>
      </w:pPr>
      <w:r>
        <w:t>Related Work</w:t>
      </w:r>
    </w:p>
    <w:p>
      <w:r>
        <w:t>Prior work in variationist sociolinguistics and corpus linguistics has compared linguistic feature rates across gender groups using frequency counts and regression models. Several studies use the Switchboard corpus or similar telephone corpora to analyze dialogue acts, discourse markers, prosody, and lexical choices, but they often (a) rely on hand-transcribed subsets or unadapted ASR output with limited error correction, (b) treat prosody and sequence structure separately rather than integrating them with token-level counts, (c) use simple regression or aggregate tests without full hierarchical (speaker/conversation) random effects, and (d) do not consistently handle nonbinary identities or document ASR/diarization bias by subgroup. Existing methods therefore risk biased effect estimates from transcription/attribution errors, underpowered inference for small strata, and limited reproducibility due to vague preprocessing and model-specification choices.</w:t>
      </w:r>
    </w:p>
    <w:p>
      <w:r>
        <w:t xml:space="preserve"> </w:t>
      </w:r>
    </w:p>
    <w:p>
      <w:pPr>
        <w:pStyle w:val="Heading2"/>
      </w:pPr>
      <w:r>
        <w:t>Abstract</w:t>
      </w:r>
    </w:p>
    <w:p>
      <w:r>
        <w:t>This study tests whether speaker gender correlates with lexical, grammatical, and pragmatic patterns in spontaneous telephone speech by analyzing the Switchboard Dialogue Act Corpus with a preregistered, reproducible pipeline. We combine adapted ASR and diarization, forced alignment, prosodic feature extraction, and CA-informed pragmatic annotation to produce token-level counts normalized per 1,000 words. Primary inference uses negative-binomial generalized linear mixed-effects models with random intercepts for speaker and conversation and temporal dependence terms for short-term sequencing. We integrate ASR uncertainty through multiple imputations drawn from recognition lattices and report subgroup ASR diagnostics (WER, diarization error) to quantify bias. The main contribution is a fully specified, end-to-end workflow and statistical plan that yields unbiased, uncertainty-aware estimates of gender-linked variation in facilitative tag questions, backchannel types, and grammatical markers. Expected outcomes are effect-size estimates with credible intervals, validated annotation guidelines, ASR/diarization QC reports, and reproducible code and aggregated data for controlled sharing.</w:t>
      </w:r>
    </w:p>
    <w:p>
      <w:r>
        <w:t xml:space="preserve"> </w:t>
      </w:r>
    </w:p>
    <w:p>
      <w:pPr>
        <w:pStyle w:val="Heading2"/>
      </w:pPr>
      <w:r>
        <w:t>Experiments</w:t>
      </w:r>
    </w:p>
    <w:p>
      <w:r>
        <w:t>Datasets: (1) Pilot: 100 calls (~4 min each) from the Switchboard Dialogue Act Corpus, stratified by self-identified gender (target balanced categories including nonbinary when available), age band (young/mid/older), dialect region (3 strata), and call-type (transactional vs social). (2) Full: 240–360 calls (2–3 calls per speaker) for final inference. Preprocessing: adapt ASR (wav2vec2/Whisper) with 2–5 hours corrected audio per stratum; diarize with pyannote; forced-align with MFA; extract prosody (F0) via Parselmouth. Baselines: A: aggregate frequency comparison (chi-square on raw counts); B: negative-binomial GLM without random effects; C: negative-binomial GLMM without prosody features; D: GLMM using unadapted ASR transcripts; E: GLMM using perceived gender (annotator-coded) instead of self-identified. Primary model: negative-binomial GLMM for token counts per 1,000 words with offset(log(tokens)), fixed effects (speaker_gender, recipient_gender, call_type, age_band, dialect), random intercepts for speaker and conversation, candidate random slopes (gender by conversation), and AR(1) residuals for temporal dependence. Inference: Bayesian fitting (Stan/PyMC) with weakly informative priors (Normal(0,1) on log-rate effects; half-Cauchy on SDs). ASR uncertainty: generate 20 imputations per call by sampling alternative transcripts from recognition lattices (n-best or posterior sampling); pool parameter estimates using Rubin-style combination across imputations. Evaluation metrics: effect estimates as rate ratios (RR) with 95% credible intervals; WER, DER, speaker-attribution accuracy by subgroup; Krippendorff's alpha / Cohen's kappa for annotation IAA; model diagnostics Rhat&lt;1.1 and ESS&gt;200, posterior predictive checks (e.g., replicate count distributions). Ablations: remove prosodic predictors; remove diarization correction (use raw speaker labels); reduce imputations to 1 (no ASR uncertainty) versus 20; collapse nonbinary into pooled category. Power analysis: simulation repo that varies RR in {1.2,1.3,1.4,1.5} and sample sizes (100,240,360 calls) to report detection probability and plan full-sample target.</w:t>
      </w:r>
    </w:p>
    <w:p>
      <w:r>
        <w:t xml:space="preserve"> </w:t>
      </w:r>
    </w:p>
    <w:p>
      <w:pPr>
        <w:pStyle w:val="Heading2"/>
      </w:pPr>
      <w:r>
        <w:t>Risk Factors And Limitations</w:t>
      </w:r>
    </w:p>
    <w:p>
      <w:r>
        <w:t>ASR/diarization failure modes: high WER (&gt;20%) or low speaker-attribution accuracy (&lt;90%) by subgroup can bias counts and reduce power. Annotation limits: low inter-annotator agreement (IAA &lt;0.70) for pragmatic categories will reduce confidence in pragmatic findings. Small-N strata: nonbinary or rare intersectional cells may be too small for stable quantitative estimates; results will have high uncertainty. Overlap and short tokens: overlapping speech and very short backchannels may yield unreliable alignments or prosody measures and must be flagged; some tokens may be excluded, reducing effective sample size. Model risks: misspecified random effects or ignored temporal dependence can inflate Type I error; heavy models may not converge (Rhat&gt;1.1 or low ESS). Generalization: findings from Switchboard (telephone, US English, 1990s) may not generalize to other speech settings, languages, or mediated calls. Compute and cost: forced-alignment, ASR adaptation, and Bayesian fitting with many imputations require nontrivial compute (GPUs and multi-core CPUs); resource limits may constrain sample scaling. Ethical/legal limits: consent and redaction constraints may prevent public release of raw audio, limiting replication of acoustic analyses.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