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fuzzy_pa_western_taiwan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Applying fuzzy-distinction aggregation to delineate precautionary areas for offshore wind farms on Taiwan's western coast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Using a Choquet-integral fuzzy aggregator with data-quality-weighted priors and Monte Carlo uncertainty propagation will produce alpha-cut precautionary-area maps that increase AUC by at least 0.02 or IoU by at least 0.03 versus maps produced by a baseline weighted fuzzy average.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offshore-wind precautionary mapping fall into several classes: (1) crisp exclusion methods that apply hard buffers around ports, cables, and protected sites (binary in/out zoning); (2) weighted-sum or weighted-fuzzy-average suitability maps that combine normalized layers by fixed weights; (3) probabilistic habitat or species distribution models that predict presence/density from environmental covariates; and (4) engineering siting analyses that model wakes and bathymetric feasibility. Limitations: crisp methods discard partial suitability information and cannot express gradation; simple weighted averages assume independence among criteria and do not model interactions; many probabilistic and fuzzy approaches lack explicit propagation of per-layer data quality and therefore understate uncertainty; spatial validation often ignores autocorrelation and seasonality (monsoon/typhoon) leading to optimistic performance estimates; 3D (vertical) overlap and episodic extreme events are rarely integrated; and complex aggregators (e.g., Choquet) have been underused because of identifiability and regularization challenges. These gaps motivate testing interaction-aware aggregators with explicit data-quality weighting, space-time CV, and uncertainty propagation.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delineating precautionary areas (PAs) for offshore wind farms off Taiwan’s west coast where navigational safety, ecological sensitivity, and wind/hydrodynamic factors must be balanced under data uncertainty. We propose a reproducible pipeline that (1) constructs analysis-ready raster layers from AIS vessel trajectories, ecological surveys and telemetry, high-resolution bathymetry, wind and current fields, and statutory exclusions; (2) converts layers to fuzzy membership surfaces with priors that reflect per-layer data quality; (3) aggregates memberships using candidate operators including weighted fuzzy average and the Choquet integral to allow interactions among criteria; and (4) propagates uncertainty with quality-weighted Monte Carlo ensembles to produce alpha-cut maps and confidence intervals. Main contributions are: explicit encoding and propagation of per-layer data quality into fuzzy priors, empirical comparison of aggregators under space-time cross-validation that respects autocorrelation and seasonality, and inclusion of typhoon/extreme-event and vertical (flight-height/rotor) layers. Expected outcome: decision-ready PA maps with quantified uncertainty and validated gains in spatial predictive performance over baseline methods.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Maritime &amp; Port Bureau AIS (2018–2023) for vessel tracks; national hydrographic bathymetry (high-resolution) with GEBCO fallback; HF-radar surface currents and ADCP mooring data; ERA5 and Sentinel-1 wind products; seabird and marine-mammal survey rasters and telemetry height histograms (Academia Sinica / Fisheries Agency); statutory legal mask layers (ports, cables, navigation lanes); engineered constraints (foundation depth limits). Preprocessing: reproject to TWD97/TM2, working grid 100 m, temporal slices: baseline, monsoon, typhoon. Baselines: (A) crisp-exclusion-only polygon; (B) weighted fuzzy average (WFA) with expert weights; (C) WFA with no data-quality weighting. Candidate aggregators: WFA, fuzzy product, min, Choquet integral (capacity fitting). Evaluation metrics: AUC/ROC for presence/pseudo-absence tests, IoU/Jaccard for alpha-cut polygon overlap, confusion matrices (hit/false alarm rates) at pre-specified alpha thresholds, calibration plots for membership probabilities, Shapley values and Choquet interaction index for interactions, bootstrap 90% CIs for area estimates. Validation: spatial block cross-validation with variogram-derived block size (block = 0.5–1.0×decorrelation range), require &gt;=5 blocks and aim for &gt;=30 where possible; time-aware blocking for seasons (space-time blocks). Monte Carlo ensembles: 2,000 runs for main experiments; sensitivity screening with Morris (k full set) then Sobol on reduced parameters with N_base=2,000. Choquet fitting: constrained regularized optimization (monotonicity constraints, L2 penalty grid λ∈{0.0,0.01,0.1,1.0}) and Bayesian alternative for comparison. Ablations: (1) remove data-quality weighting; (2) drop hydrodynamic layers; (3) omit typhoon slice; (4) compare Choquet fitted with and without regularization. Reporting: report ΔAUC and ΔIoU between chosen aggregator and baseline WFA, Shapley interaction summaries, Monte Carlo 90% alpha-cut area intervals, and runtime/storage (expected 0.5–2 TB, ensemble times reported).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Choquet-capacity fitting may be non-identifiable with many criteria, producing unstable capacities; monotonicity constraints can make optimization ill-conditioned. Data biases: AIS under-detects small fishing boats and nearshore traffic causing vessel-density underestimation; seabird and mammal telemetry/survey data are spatially sparse and seasonally biased. Validation biases: spatial CV may still underestimate error if nonstationarity (e.g., habitat shifts) is strong. Extreme events: typhoons are rare, so empirical extreme-layer validation will be limited. Computational limits: Monte Carlo and Sobol analyses are compute- and storage-intensive (estimated 0.5–2 TB and multi-node cluster time), which may limit parameter sweep resolution. Generalization: parameter priors and alpha thresholds tuned to western Taiwan may not transfer to other coasts. Regulatory/social limits: stakeholders or regulators may not accept fuzzy alpha bands without clear legal translation. Evaluation limits: pseudo-absence construction for ecological validation can bias AUC; IoU sensitivity to boundary fuzziness may penalize otherwise useful maps.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