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islam_aesthetic_comparativeness</w:t>
      </w:r>
    </w:p>
    <w:p>
      <w:r>
        <w:t xml:space="preserve"> </w:t>
      </w:r>
    </w:p>
    <w:p>
      <w:pPr>
        <w:pStyle w:val="Heading2"/>
      </w:pPr>
      <w:r>
        <w:t>Title</w:t>
      </w:r>
    </w:p>
    <w:p>
      <w:r>
        <w:t>Computational and ethnographic comparative analysis of regional aesthetic codes in Islamic material and performative culture across Morocco and Indonesia</w:t>
      </w:r>
    </w:p>
    <w:p>
      <w:r>
        <w:t xml:space="preserve"> </w:t>
      </w:r>
    </w:p>
    <w:p>
      <w:pPr>
        <w:pStyle w:val="Heading2"/>
      </w:pPr>
      <w:r>
        <w:t>Short Hypothesis</w:t>
      </w:r>
    </w:p>
    <w:p>
      <w:r>
        <w:t>Regional cultural provenance and community-specific poetics cause measurable differences in aesthetic features such that multimodal computational models (vision, text, audio) can distinguish Moroccan and Indonesian Islamic artifacts and performances with classification accuracy ≥0.75.</w:t>
      </w:r>
    </w:p>
    <w:p>
      <w:r>
        <w:t xml:space="preserve"> </w:t>
      </w:r>
    </w:p>
    <w:p>
      <w:pPr>
        <w:pStyle w:val="Heading2"/>
      </w:pPr>
      <w:r>
        <w:t>Related Work</w:t>
      </w:r>
    </w:p>
    <w:p>
      <w:r>
        <w:t>Existing approaches split into four streams: (1) computational visual analysis of manuscripts and tiles using CNNs/transformers for motif and script detection; (2) materials science studies using non‑destructive spectroscopy to infer provenance; (3) audio analysis of recitation using spectral features and self‑supervised audio embeddings; and (4) ethnographic and comparative literature work tracing aesthetic meanings. Limitations across these streams include narrow modality focus (rarely multimodal fusion), small or single‑region corpora, weak handling of provenance uncertainty, few reproducible pre‑registered evaluation protocols, scarce annotated historical orthography and maqam labels, and limited incorporation of community knowledge in data governance. Methods that claim diffusion or influence often lack formal statistical tests separating diffusion from convergent evolution and do not propagate provenance uncertainty into model evaluation.</w:t>
      </w:r>
    </w:p>
    <w:p>
      <w:r>
        <w:t xml:space="preserve"> </w:t>
      </w:r>
    </w:p>
    <w:p>
      <w:pPr>
        <w:pStyle w:val="Heading2"/>
      </w:pPr>
      <w:r>
        <w:t>Abstract</w:t>
      </w:r>
    </w:p>
    <w:p>
      <w:r>
        <w:t>This project tests whether an interdisciplinary, multimodal comparative method can identify regionally distinct aesthetic codes in Islamic calligraphy, tilework, and ritual performance across Morocco and Indonesia. We combine computational models (image, text, and audio embeddings), materials analyses, and ethnographic metadata to create a structured corpus of annotated folios, tile panels, and recordings. The main contribution is a reproducible protocol that links motif and script shape clusters, material signatures, and spectral-temporal performance features to probabilistic provenance labels and community-derived categories of aesthetic comparativeness. We provide pre-registered hypotheses, power-calibrated sample sizes, annotation and QC standards, and statistical tests that separate diffusion from convergent evolution using hierarchical Bayesian and network-diffusion methods. Expected outcomes are: (1) evaluated multimodal classifiers and clustering that recover region labels above pre-specified thresholds, (2) a provenance probabilistic model that quantifies uncertainty, and (3) an open, ethically tiered data and code package for replication and community review. Results will clarify how aesthetic codes map onto regional and social practice.</w:t>
      </w:r>
    </w:p>
    <w:p>
      <w:r>
        <w:t xml:space="preserve"> </w:t>
      </w:r>
    </w:p>
    <w:p>
      <w:pPr>
        <w:pStyle w:val="Heading2"/>
      </w:pPr>
      <w:r>
        <w:t>Experiments</w:t>
      </w:r>
    </w:p>
    <w:p>
      <w:r>
        <w:t>Datasets: (A) Calligraphy: 1,200 annotated folios (~50 codices; target ~400 folios per major region); (B) Tilework/materials: 300 tile panels/fragments from 6 sites with 150 non‑destructive material spectra; (C) Audio: 300 recordings (~30 hours) of recitation and ritual performance. Baselines: random classifier; SVM on hand-crafted features (HOG for images, MFCC for audio, TF-IDF for text); pretrained standard models (ResNet50 and ViT for images; CLIP/DINO embeddings for motif retrieval; AraBERT/MarBERT for Arabic text; wav2vec2-base and HuBERT for audio). Proposed models: fine-tuned ViT/ResNet with motif descriptors, multimodal fusion via concatenated embeddings and late fusion classifiers, hierarchical Bayesian provenance model, and network diffusion models on motif/material co-occurrence graphs. Evaluation metrics: classification accuracy, precision, recall, F1; clustering: Adjusted Rand Index (ARI), Silhouette; network modularity Q; ROC-AUC for binary labels; entropy for provenance uncertainty. Experimental setup: pre-register splits; 5-fold cross-validation; archive holdout (one repository withheld) for out-of-sample testing; hyperparameter grid search logged. Ablation studies: (1) multimodal fusion vs single modality (image only, audio only, text only); (2) remove materials data to test contribution of chemistry; (3) remove ethnographic/contextual metadata. Diffusion vs convergence tests: fit hierarchical Bayesian trait models with random effects for site and date, run network diffusion simulations and permutation nulls, and compare model fit via WAIC/LOO and Bayes factors. Reproducibility: containerized pipelines (Docker), fixed random seeds, and one worked Monte‑Carlo notebook showing sample size derivation for accuracy≥0.75.</w:t>
      </w:r>
    </w:p>
    <w:p>
      <w:r>
        <w:t xml:space="preserve"> </w:t>
      </w:r>
    </w:p>
    <w:p>
      <w:pPr>
        <w:pStyle w:val="Heading2"/>
      </w:pPr>
      <w:r>
        <w:t>Risk Factors And Limitations</w:t>
      </w:r>
    </w:p>
    <w:p>
      <w:r>
        <w:t>Technical failure modes: poor digitization quality, noisy audio, and heterogeneous imaging conditions may reduce model accuracy; sparse labelled data for historical orthography and maqam limits supervised learning. Data/evaluation biases: uneven provenance coverage, selection bias toward accessible collections, and curator-attributed provenance errors. Provenance uncertainty: many objects have ambiguous or missing provenance; downstream results depend on probabilistic labels. Scalability/compute limits: multimodal fine-tuning and materials-data processing require GPUs and storage; training costs may constrain large-scale experiments. Generalization limits: models trained on Morocco and Indonesia may not transfer to other Islamic regions or periods. Ethical and community constraints: sacred or sensitive materials may be restricted from open release, reducing reproducibility and public dataset completeness. Statistical limits: diffusion vs convergent evolution tests depend on covariate quality (date, function); insufficient metadata reduces inference validity.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