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thermalscapes_informal_shading_cuiaba</w:t>
      </w:r>
    </w:p>
    <w:p>
      <w:r>
        <w:t xml:space="preserve"> </w:t>
      </w:r>
    </w:p>
    <w:p>
      <w:pPr>
        <w:pStyle w:val="Heading2"/>
      </w:pPr>
      <w:r>
        <w:t>Title</w:t>
      </w:r>
    </w:p>
    <w:p>
      <w:r>
        <w:t>Ethnography and participatory biosensing to quantify effects of informal shading on thermal comfort in a hot Brazilian city centre</w:t>
      </w:r>
    </w:p>
    <w:p>
      <w:r>
        <w:t xml:space="preserve"> </w:t>
      </w:r>
    </w:p>
    <w:p>
      <w:pPr>
        <w:pStyle w:val="Heading2"/>
      </w:pPr>
      <w:r>
        <w:t>Short Hypothesis</w:t>
      </w:r>
    </w:p>
    <w:p>
      <w:r>
        <w:t>Presence of informal shading causes a reduction in mean radiant temperature at pedestrian height by at least 0.5°C and a measurable increase in reported thermal comfort compared to adjacent unshaded locations.</w:t>
      </w:r>
    </w:p>
    <w:p>
      <w:r>
        <w:t xml:space="preserve"> </w:t>
      </w:r>
    </w:p>
    <w:p>
      <w:pPr>
        <w:pStyle w:val="Heading2"/>
      </w:pPr>
      <w:r>
        <w:t>Related Work</w:t>
      </w:r>
    </w:p>
    <w:p>
      <w:r>
        <w:t>Prior work on urban thermalscapes has measured surface and air temperatures with fixed sensors, UAV thermal mapping, and microclimate models (for example ENVI-met). Studies of thermal comfort have used globe thermometers and indices like PET or UTCI (comfort metrics that combine air temperature, humidity, wind and radiant heat). Separate research in urban anthropology documents informal street practices and vendor adaptations. Limitations in existing approaches include: focus on formal green infrastructure rather than informal shading; sparse integration between ethnography and high‑resolution thermal data; inconsistent UAV radiometric correction and landcover emissivity protocols; small sample sizes and weak power analyses for small effect detection (≈0.5°C); inadequate propagation of measurement and emissivity uncertainty into final estimates; limited use of participatory biosensing (wearable physiological data) in public-space cooling studies; and weak pre-registration and reproducibility practices. These gaps leave the thermal role, social dynamics, and measurable comfort impacts of informal shading under-characterized in hot tropical city centres.</w:t>
      </w:r>
    </w:p>
    <w:p>
      <w:r>
        <w:t xml:space="preserve"> </w:t>
      </w:r>
    </w:p>
    <w:p>
      <w:pPr>
        <w:pStyle w:val="Heading2"/>
      </w:pPr>
      <w:r>
        <w:t>Abstract</w:t>
      </w:r>
    </w:p>
    <w:p>
      <w:r>
        <w:t>This study measures how informal shading practices change thermal conditions and human thermal comfort in a hot Brazilian city centre (Cuiabá). We combine ethnographic observation, participatory biosensing (wearable pulse and skin-temperature sensors), fixed paired sensor clusters, and calibrated UAV thermal and LiDAR mapping to link shading form and use to microclimate metrics. Primary contributions are: (1) an integrated field protocol that aligns high-frequency microclimate sensors, UAV radiometric correction, and participatory social data; (2) a statistically powered analysis plan using linear mixed-effects models (LME) with explicit assumptions and Monte Carlo uncertainty propagation; and (3) empirical estimates of shading effects on mean radiant temperature (MRT), air temperature at pedestrian height, and perceived comfort. Expected outcomes include quantified cooling per square meter of informal shade, uncertainty-bounded MRT and surface temperature maps, and evidence on whether informal shading yields perceptible comfort gains. Results will inform locally grounded, socially sensitive urban cooling guidance for hot tropical retail streets.</w:t>
      </w:r>
    </w:p>
    <w:p>
      <w:r>
        <w:t xml:space="preserve"> </w:t>
      </w:r>
    </w:p>
    <w:p>
      <w:pPr>
        <w:pStyle w:val="Heading2"/>
      </w:pPr>
      <w:r>
        <w:t>Experiments</w:t>
      </w:r>
    </w:p>
    <w:p>
      <w:r>
        <w:t>Datasets: (1) Fixed sensor deployments: 30–36 paired shaded vs unshaded clusters across three street canyon typologies in central Cuiabá, each cluster with air thermistor (1.5 m), globe thermometer (D=0.15 m), aspirated RH sensor, and anemometer; (2) UAV thermal mosaics (0.5–1 m) and LiDAR-derived DSM/DTM for geometry; (3) Participatory biosensing: wearable skin temperature and heart-rate logs from N≈100 participants during daytime shifts; (4) Ethnographic data: semi-structured interviews, photovoice, and participatory GIS mapping of shade types and schedules. Baselines: adjacent unshaded locations, ENVI-met runs with no informal-shade parameterization, and pre-deployment no-shade recordings. Evaluation metrics: ΔT_air (air temperature difference at 1.5 m), ΔT_sfc (surface temperature difference), ΔT_mrt (mean radiant temperature difference), PET or UTCI (thermal comfort index), perceived comfort score (Likert), dwell time (seconds), 95% confidence intervals, and effect-size (Cohen's d). Statistical setup: primary model is LME: ΔT_air_ijt = β0 + β1·shade_ijt + β2·timeOfDay_t + β3·canyonType_j + β4·humidity_t + β5·trafficHeat_ijt + (1+shade|site_i) + (1|date_t) + AR(1) residual; LME = linear mixed-effects model (a regression that models grouped data with fixed and random effects). Power and sensitivity: run simulation grid for ICC (intra-class correlation) values 0.05–0.3, between-site SD and random-slope SD small/medium/large to produce required paired sites for 80% and 90% power to detect ΔT_mrt = 0.5°C and 1.0°C. Calibration and uncertainty: Monte Carlo ensembles (10,000 iterations) perturbing sensor noise (±0.1–0.3°C), emissivity (±0.02–0.05), atmospheric transmissivity, and albedo; report 95% CI. Ablation studies: (A) remove ethnographic covariates to test their explanatory value; (B) fix emissivity instead of measured emissivity to quantify impact of emissivity error; (C) compare imputation strategies (diurnal harmonic vs multiple-imputation AR(1)); (D) ENVI-met resolution test: 0.5 m vs 2 m grid compare model fit to observed ΔT_air. Validation: leave-one-site-out cross-validation, residual spatial autocorrelation (Moran's I) maps, and compare ENVI-met simulated ΔT_air to observations with RMSE and bias maps.</w:t>
      </w:r>
    </w:p>
    <w:p>
      <w:r>
        <w:t xml:space="preserve"> </w:t>
      </w:r>
    </w:p>
    <w:p>
      <w:pPr>
        <w:pStyle w:val="Heading2"/>
      </w:pPr>
      <w:r>
        <w:t>Risk Factors And Limitations</w:t>
      </w:r>
    </w:p>
    <w:p>
      <w:r>
        <w:t>Sensor failure and data loss from vandalism, theft, or battery problems. UAV radiometry errors due to emissivity mis-estimation, BRDF (angle-dependent reflectance) effects, or unstable atmospheric conditions. Mean radiant temperature (MRT) bias under low wind because globe thermometers respond slowly in still air. Small true effect sizes (&lt;0.5°C) that require larger sample sizes than budgeted. Non-random missingness of biosensor or ethnography data causing sample bias. Limited generalizability beyond Cuiabá hot-season contexts and retail street patterns. Confounding from anthropogenic heat sources (vehicles, exhausts, HVAC) that are hard to fully quantify. Computational limits and long runtimes for high-resolution ENVI-met simulations. Permit delays or participant withdrawal that shift timelines. Uncertainty propagation complexity: integrating imputation, radiometric, and model uncertainty may increase final confidence intervals and reduce decisive results.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