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spanish_winery_resilience_ols</w:t>
      </w:r>
    </w:p>
    <w:p>
      <w:r>
        <w:t xml:space="preserve"> </w:t>
      </w:r>
    </w:p>
    <w:p>
      <w:pPr>
        <w:pStyle w:val="Heading2"/>
      </w:pPr>
      <w:r>
        <w:t>Title</w:t>
      </w:r>
    </w:p>
    <w:p>
      <w:r>
        <w:t>Estimating resilience capacities in rural agro-industries via survey-linked administrative data and OLS models: evidence from Spanish wineries</w:t>
      </w:r>
    </w:p>
    <w:p>
      <w:r>
        <w:t xml:space="preserve"> </w:t>
      </w:r>
    </w:p>
    <w:p>
      <w:pPr>
        <w:pStyle w:val="Heading2"/>
      </w:pPr>
      <w:r>
        <w:t>Short Hypothesis</w:t>
      </w:r>
    </w:p>
    <w:p>
      <w:r>
        <w:t>Higher firm-level innovation capacity causes faster recovery (shorter months to reach 90% of pre-shock production) after economic, environmental, or social shocks, controlling for firm size, cooperative membership, and shock severity.</w:t>
      </w:r>
    </w:p>
    <w:p>
      <w:r>
        <w:t xml:space="preserve"> </w:t>
      </w:r>
    </w:p>
    <w:p>
      <w:pPr>
        <w:pStyle w:val="Heading2"/>
      </w:pPr>
      <w:r>
        <w:t>Related Work</w:t>
      </w:r>
    </w:p>
    <w:p>
      <w:r>
        <w:t>Existing work on agro-industry resilience uses three main approaches: (1) survey-based cross-sectional analyses that describe firm traits and perceived shocks but often lack longitudinal outcomes and suffer selection bias; (2) administrative or remote-sensing time series that measure production or vegetation change but lack firm-level organizational or social variables; and (3) supply-chain and network studies that map vulnerabilities but rarely link these maps to measured recovery outcomes. Econometric studies typically apply ordinary least squares (OLS) or difference-in-differences (DiD) to estimate associations between firm traits and outcomes. Limitations across these approaches include weak coverage when single registers are used (omitting smallholders or migrants), limited causal identification (endogenous shock exposure and missing counterfactuals), measurement error in field and self-reported data, and scarce validation linking sensor/remote-sensing signals to on-farm quality measures. Few studies combine multi-frame sampling, administrative linkages, sensor validation, and modern causal estimators together, leaving gaps in representativeness, bias correction, and robustness to clustered dependence.</w:t>
      </w:r>
    </w:p>
    <w:p>
      <w:r>
        <w:t xml:space="preserve"> </w:t>
      </w:r>
    </w:p>
    <w:p>
      <w:pPr>
        <w:pStyle w:val="Heading2"/>
      </w:pPr>
      <w:r>
        <w:t>Abstract</w:t>
      </w:r>
    </w:p>
    <w:p>
      <w:r>
        <w:t>We study how internal firm attributes shape resilience capacities—robustness, adaptability, and transformability—in rural agro-industries, using a survey of 411 Spanish wineries linked to administrative registers (SIGPAC, Catastro, REGA, AEAT/SABI) and environmental data. We operationalize recovery speed as months from shock onset to 90% of seasonally-matched baseline production and construct indices for adaptability and transformability from structured survey items. Our approach estimates effects using ordinary least squares (OLS) with cluster-robust standard errors, complemented by validation subsamples and measurement-error corrections. The main contribution is a reproducible, multi-source empirical pipeline that identifies which firm-level features (innovation, rural commitment, size, cooperative status) predict faster recovery and greater adaptive/transformative capacity. Expected outcomes include quantified effect sizes for policy-relevant levers, validated harmonization rules for mixed data sources, and publicly shareable analysis code and parameter tables to improve inference and guide rural resilience policy.</w:t>
      </w:r>
    </w:p>
    <w:p>
      <w:r>
        <w:t xml:space="preserve"> </w:t>
      </w:r>
    </w:p>
    <w:p>
      <w:pPr>
        <w:pStyle w:val="Heading2"/>
      </w:pPr>
      <w:r>
        <w:t>Experiments</w:t>
      </w:r>
    </w:p>
    <w:p>
      <w:r>
        <w:t>Datasets: (1) primary survey of 411 Spanish wineries with questionnaire measures on firm size, structure, innovation capacity, rural commitment, perceived economic/environmental/social challenges, and strategy responses; (2) linked administrative registers: SIGPAC parcel data, Catastro property records, REGA farm registry, AEAT/SABI financial aggregates, SEPE labor flows; (3) validation subsample (~10-15% of plots, min 100 plots) with duplicate field and lab measures (Brix, TA, pH) and sentinel soil sensors; (4) gridded remote-sensing products (NDVI, land-surface temperature) and weather event logs (frost, wildfire, declared strike/COVID dates). Baselines: (A) naive OLS of recovery time on innovation and controls (no clustering or weights); (B) OLS with cluster-robust SEs and sampling weights; (C) mixed-effects (random intercept) models by DO/PGI; (D) IV model using administrative proxies (e.g., cooperative membership or AEAT lagged aggregates) as instruments for innovation where instrument plausibility holds; (E) modern DiD estimators (Callaway &amp; Sant'Anna or Sun &amp; Abraham) for staggered shock exposure when pre-shock panels exist. Metrics: primary: coefficient on innovation for recovery months (estimate, SE, p-value), adjusted R-squared, root-mean-square error (RMSE); secondary: standardized effect sizes on adaptability/transformability indices, mean absolute error (MAE), and MDE (minimum detectable effect) tables across ICCs and cluster sizes. Robustness and validation: (1) placebo tests using falsified shock dates; (2) balance tests on covariates across exposed/unexposed; (3) measurement-error correction ablation: compare naïve OLS vs SIMEX-adjusted vs regression-calibration; (4) data-source ablation: full linked data vs survey-only vs admin-only; (5) sensor validation: correlation and RMSE between remote-sensing indices and sentinel sensor / lab measures. Experimental setup: pre-register analysis plan; use clustered bootstrap (clusters = firms) for CIs; apply inverse-probability weights for nonresponse; report results stratified by firm size, DO/PGI and production type; run power/MDE simulations for target sample sizes and ICC grids; provide code notebooks to reproduce all tables and figures.</w:t>
      </w:r>
    </w:p>
    <w:p>
      <w:r>
        <w:t xml:space="preserve"> </w:t>
      </w:r>
    </w:p>
    <w:p>
      <w:pPr>
        <w:pStyle w:val="Heading2"/>
      </w:pPr>
      <w:r>
        <w:t>Risk Factors And Limitations</w:t>
      </w:r>
    </w:p>
    <w:p>
      <w:r>
        <w:t>Technical failure modes: measurement error in self-reported production and lab assays; sensor malfunction or data gaps in sentinel plots; weak or invalid instruments for causal IV models. Data and evaluation biases: nonresponse bias if smallholders or migrant-related units under-participate; selective attrition over a 24-month panel leading to survivorship bias; misclassification of shock onset when compound or overlapping events occur. Scalability and compute limits: linking large administrative registers and high-resolution remote-sensing data requires storage and processing capacity and careful geospatial joins; complex mixed models and bootstrapped inference increase compute time. Modeling limits and generalization: OLS and observational causal methods may not fully eliminate endogeneity from unobserved confounders (e.g., managerial quality); results from Spanish DO/PGI contexts may not generalize to other countries or non-wine agro-industries. Legal and privacy constraints: access to AEAT/SEPE/REGA data may be limited by legal agreements, reducing administrative validation scope.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