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vouchers_fruit_affordability_trial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Cluster-randomized trial testing whether fruit vouchers increase fruit affordability and caregiver fruit intake in peri-urban Nigeria and Vietnam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time-limited fruit vouchers that lower the out-of-pocket price of a representative weekly fruit basket will increase average individual fruit intake (grams/day) of the primary female caregiver at 6 months compared to no voucher.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test price subsidies, vouchers, or conditional transfers to change food purchases and diet. Existing approaches show subsidies can raise purchases of targeted foods but often rely on household-level outcomes, short follow-ups, or single-site observational designs. Few cluster-randomized trials in low- and middle-income country urban or peri-urban contexts evaluate individual intake using multiple 24-hour recalls. Validation with biomarkers is rare, and supply-side effects (local price inflation, stockouts) are under-studied. Common limitations: limited external validity across countries, weak objective intake validation, low power for subgroup heterogeneity, and sparse pre-specified market-adaptive rules. Work on statistical practice highlights the need for cluster-aware inference, pre-specified multiplicity control, and robust missing-data strategies, but many field trials omit full pre-specification of randomization blocks, minimum cluster counts, or tracer protocols.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targeted fruit vouchers increase fruit affordability and consumption among peri-urban and urban households in Nigeria and Vietnam. We implement a four-arm cluster-randomized trial (control, low subsidy ~25%, high subsidy ~50%, behavioral counseling + high subsidy) with vouchers priced to a representative weekly fruit basket and adjusted via a local fruit price index. The primary outcome is individual fruit intake (grams/day) of the primary female caregiver measured by two non-consecutive 24-hour recalls and assessed at 6 months. Secondary outcomes include biomarker validation (dried blood spot carotenoids and vitamin C where feasible), household fruit expenditure, vendor redemption and price pass-through, and child intake. Analyses use ANCOVA with cluster-robust inference, mixed-effects models, and 2SLS for take-up (LATE). Pre-specified market triggers and adaptive rules protect supply. Expected contributions: rigorous causal estimates of affordability effects on intake, biomarker validation of self-reports, and operational evidence on market stability under vouchers in two country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Study design: cluster-randomized controlled trial by market catchment. Arms: (1) control, (2) low subsidy (~25% weekly basket), (3) high subsidy (~50%), (4) behavioral counseling + high subsidy. Randomization: blocked within strata (country, region, baseline caregiver intake, market size) with public seed and block sizes 4 or 6. Target sample: per country 120 clusters, mean 20 households per cluster (total 2,400 households per country), yielding 30 clusters per arm and ~600 households per arm. Minimum per-arm cluster count for permutation tests = 30. Primary outcome: caregiver grams/day averaged over two non-consecutive 24-hour recalls. Secondary metrics: servings/day (80 g/serving), redemption rate (% vouchers used), household weekly fruit spending, vendor retail prices, stockout incidence, biomarker concentrations (total carotenoids, vitamin C), and correlation between biomarkers and reported intake. Data sources: household surveys at baseline, 3 months (midline), 6 months (primary endline), 12 months (follow-up); electronic voucher redemption logs; vendor/wholesale price and stock monitoring; biomarker sub-sample (~300 households per country, stratified by treatment and U5 presence). Baselines and covariates: household demographics, baseline intake, geolocation, wealth, market fixed effects, local fruit price index. Statistical analysis: primary estimator ANCOVA (endline outcome on treatment + baseline outcome + covariates) with cluster-robust standard errors; mixed-effects models with household and cluster random effects for repeated measures; 2SLS (instrument: assignment) to estimate LATE (local average treatment effect) for take-up; inference supplemented with randomization inference when cluster counts are small. Missing data: primary strategy multiple imputation by chained equations (MICE) using auxiliary variables (baseline intake, household size, wealth, geolocation, vendor redemption in community), number of imputations &gt;= 50; report IPW and Lee bounds as robustness checks. Multiplicity: primary outcome α=0.05; Romano-Wolf stepdown for key families and Benjamini-Hochberg FDR for exploratory outcomes. Power and calibration: run Monte Carlo simulations with &gt;=5,000 draws per scenario varying ICC (0.01-0.10), SD (60-100 g), measurement error attenuation (15-25%), and attrition (0-15%) to confirm detectable effect sizes. Ablations: (A) compare high subsidy with and without behavioral counseling; (B) compare monthly price-index updating vs fixed baseline voucher value; (C) compare analyses including vs excluding biomarker-validated subsample. Pre-specified subgroup analyses: households with U5, female-headed households, poorest quintile; report subgroup Ns and MDEs. Pre-analysis plan: register before baseline and publish analysis code and anonymized data within 12 months post-endline.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Supply-side risks: local price inflation or stockouts from increased demand; vendor liquidity constraints that interrupt redemption. Measurement risks: self-reported 24-hour recalls have recall bias and day-to-day variation; biomarkers (vitamin C) may degrade if DBS cold-chain fails. Statistical risks: cluster-level ICC higher than assumed reduces power; differential attrition across arms biases estimates. Operational risks: delayed vendor reimbursements, regulatory or ethics approval delays, and low pilot uptake. Generalization limits: peri-urban results may not apply to rural or non-target countries. Data risks: incomplete linkage of household and vendor logs; missing data mechanisms may be not-at-random (MNAR). Computation limits: simulations and multiple imputation with many imputations increase compute time but are tractable on standard research servers. Ethical limits: biomarker collection requires explicit consent and may reduce participation.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