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circular_osh_ecosystem</w:t>
      </w:r>
    </w:p>
    <w:p>
      <w:r>
        <w:t xml:space="preserve"> </w:t>
      </w:r>
    </w:p>
    <w:p>
      <w:pPr>
        <w:pStyle w:val="Heading2"/>
      </w:pPr>
      <w:r>
        <w:t>Title</w:t>
      </w:r>
    </w:p>
    <w:p>
      <w:r>
        <w:t>A qualitative two-phase expert-engagement and pilot cluster-randomized evaluation of a circular-ecosystem intervention design method for improving occupational safety and health implementation and outcomes</w:t>
      </w:r>
    </w:p>
    <w:p>
      <w:r>
        <w:t xml:space="preserve"> </w:t>
      </w:r>
    </w:p>
    <w:p>
      <w:pPr>
        <w:pStyle w:val="Heading2"/>
      </w:pPr>
      <w:r>
        <w:t>Short Hypothesis</w:t>
      </w:r>
    </w:p>
    <w:p>
      <w:r>
        <w:t>Occupational safety and health (OSH) interventions designed using a circular-ecosystem perspective that integrates multi-actor processes, data/materials/flows, circular activities, value, and governance across design, implementation, evaluation and follow-up will produce higher implementation fidelity and greater reductions in workplace injury incidence than OSH interventions designed without that perspective.</w:t>
      </w:r>
    </w:p>
    <w:p>
      <w:r>
        <w:t xml:space="preserve"> </w:t>
      </w:r>
    </w:p>
    <w:p>
      <w:pPr>
        <w:pStyle w:val="Heading2"/>
      </w:pPr>
      <w:r>
        <w:t>Related Work</w:t>
      </w:r>
    </w:p>
    <w:p>
      <w:r>
        <w:t>Existing OSH intervention research typically treats interventions as isolated activities focused on a single actor (employer, regulator, or worker) or a single phase (design or implementation). Systems-thinking and multi-stakeholder frameworks have been proposed but are rarely operationalized across all intervention phases or quantified for cross-national comparison. Job-Exposure Matrices (JEMs) are used to estimate exposures where measurements are sparse, but they suffer from measurement error, limited calibration across countries, and weak propagation of uncertainty. Policy measurement work distinguishes de jure (laws) from de facto (enforcement) indicators, yet composite indices often lack transparent weighting, robust missing-data rules, and cross-country comparability. Approaches for informal-sector denominators and worker-hours rely on household surveys or time-use data but face coverage gaps and high uncertainty. Reproducibility practices (containerization, seeds) are unevenly adopted. Limitations across these areas include siloed designs, poor handling of measurement error and uncertainty, weak validation protocols, limited stakeholder co-design, and scarce evidence on downstream follow-up and sustainability.</w:t>
      </w:r>
    </w:p>
    <w:p>
      <w:r>
        <w:t xml:space="preserve"> </w:t>
      </w:r>
    </w:p>
    <w:p>
      <w:pPr>
        <w:pStyle w:val="Heading2"/>
      </w:pPr>
      <w:r>
        <w:t>Abstract</w:t>
      </w:r>
    </w:p>
    <w:p>
      <w:r>
        <w:t>We address whether a circular-ecosystem perspective improves the implementation and outcomes of occupational safety and health (OSH) interventions. The approach reframes intervention development around processes, actors, and dynamics across four phases (design, implementation, evaluation, follow-up) and five ecosystem elements (value, actors, data/materials/flows, circular activities/strategies, governance). We will operationalize this perspective through a qualitative two-phase expert engagement (exploratory interviews then focus group) to derive specification rules and then test those rules in pilot cluster-randomized trials in diverse national settings. Main contributions: (1) an operational circular-ecosystem specification for OSH interventions, (2) measurable rules for denominators, policy indices, JEM calibration and uncertainty propagation, and (3) a pilot evaluation demonstrating effects on implementation fidelity and injury incidence. Expected outcome: evidence on whether and how ecosystem-designed interventions increase fidelity and reduce injury rates, plus reproducible artifacts (metadata schema, protocols, code) to support cross-national scaling.</w:t>
      </w:r>
    </w:p>
    <w:p>
      <w:r>
        <w:t xml:space="preserve"> </w:t>
      </w:r>
    </w:p>
    <w:p>
      <w:pPr>
        <w:pStyle w:val="Heading2"/>
      </w:pPr>
      <w:r>
        <w:t>Experiments</w:t>
      </w:r>
    </w:p>
    <w:p>
      <w:r>
        <w:t>Datasets: a) Qualitative: transcripts from 20 exploratory expert interviews (international OSH experts) and one 10-person focus group; b) Quantitative pilots in 3–4 countries (Germany, India, Brazil, optional Nigeria) using: workplace injury registries (cases by date, occupation, age, sex), employer rosters, labour force surveys/time-use surveys (worker counts, hours), inspection logs (inspections, inspectors, sanctions), and a JEM calibration subsample of personal exposure measurements (target ≥20 personal measures per high-risk ISCO-08 cell). Baselines: standard intervention design (single-actor, phase-limited) and policy-as-usual. Treatment: interventions redesigned per circular-ecosystem specification. Design: cluster-randomized trial (workplaces as clusters) with intention-to-treat analysis; target example: detect 25% relative risk reduction from 1% baseline with ICC=0.02 requires ~40 clusters/arm (≈2,000 workers/arm). Evaluation metrics: primary — implementation fidelity (%) and injury incidence per 100,000 person-years and per 1,000,000 hours; secondary — reach (% eligible workers reached), coverage (% workplaces adopting), calibrated exposure levels (JEM calibrated), and policy-index score (0–100). Statistical analysis: mixed-effects regression (cluster random intercepts), cluster bootstrap (nonparametric cluster resample, 1,000 draws) for CIs, and Monte Carlo propagation of JEM calibration uncertainty. Comparisons/ablations: a) full circular-ecosystem treatment vs standard control; b) ablation A: remove governance element; c) ablation B: remove data-flow requirement; d) calibration ablation: JEM calibrated vs uncalibrated exposure input. Baseline variants for policy-index weighting: equal, PCA-derived, theory-driven. Significance: two-sided α=0.05. Diagnostics: model selection checks (LRT/AIC/BIC), residual plots, heteroskedasticity tests, and coverage of bootstrap CIs.</w:t>
      </w:r>
    </w:p>
    <w:p>
      <w:r>
        <w:t xml:space="preserve"> </w:t>
      </w:r>
    </w:p>
    <w:p>
      <w:pPr>
        <w:pStyle w:val="Heading2"/>
      </w:pPr>
      <w:r>
        <w:t>Risk Factors And Limitations</w:t>
      </w:r>
    </w:p>
    <w:p>
      <w:r>
        <w:t>Technical: mixed-effects and Bayesian models may not converge for small calibration samples; bootstrap of clustered data can be computationally heavy. Data: incomplete or low-quality inspection logs, missing informal-sector hours, OCR errors in legal texts, and low participation in personal exposure sampling; these create measurement error and selection bias. Statistical: calibration accuracy depends on validation subsample size; small validation sets produce wide uncertainty. Reproducibility/compute: Bayesian fits and large bootstrap ensembles need substantial CPU/RAM and may require cloud resources. Generalization: pilots in 3–4 countries may not represent all governance or informality contexts. Legal/ML: multilingual legal-text extraction may have low precision/recall in under-resourced languages. Privacy: differential privacy or synthetic data may reduce utility for fine-grained analyses. Stakeholder: varying capacity and willingness to adopt ecosystem-designed interventions across countries may limit real-world uptake.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