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unpaid_eldercare_gender_norms_th</w:t>
      </w:r>
    </w:p>
    <w:p>
      <w:r>
        <w:t xml:space="preserve"> </w:t>
      </w:r>
    </w:p>
    <w:p>
      <w:pPr>
        <w:pStyle w:val="Heading2"/>
      </w:pPr>
      <w:r>
        <w:t>Title</w:t>
      </w:r>
    </w:p>
    <w:p>
      <w:r>
        <w:t>Mixed-method causal analysis using experimental norm interventions, implicit measures, and instrumental variables to estimate the effect of social gender norms on unpaid eldercare provision in Thailand</w:t>
      </w:r>
    </w:p>
    <w:p>
      <w:r>
        <w:t xml:space="preserve"> </w:t>
      </w:r>
    </w:p>
    <w:p>
      <w:pPr>
        <w:pStyle w:val="Heading2"/>
      </w:pPr>
      <w:r>
        <w:t>Short Hypothesis</w:t>
      </w:r>
    </w:p>
    <w:p>
      <w:r>
        <w:t>Shifting perceived social gender norms to depict male caregiving as socially approved (injunctive norms) increases men's provision of unpaid eldercare hours compared to a control condition.</w:t>
      </w:r>
    </w:p>
    <w:p>
      <w:r>
        <w:t xml:space="preserve"> </w:t>
      </w:r>
    </w:p>
    <w:p>
      <w:pPr>
        <w:pStyle w:val="Heading2"/>
      </w:pPr>
      <w:r>
        <w:t>Related Work</w:t>
      </w:r>
    </w:p>
    <w:p>
      <w:r>
        <w:t>Existing research on unpaid eldercare and gender norms uses three main approaches: cross-sectional surveys that document gender gaps in care but are vulnerable to bias from self-report and selection; vignette and lab-in-the-field experiments that manipulate normative information but often rely on short-term behavioral proxies and small samples; and quasi-experimental instrumental-variable (IV) studies that exploit historical or regional variation (e.g., past female labor-force participation or education shocks) to infer causal effects but face doubts about instrument exclusion (the requirement that the instrument affects outcomes only via norms). Limitations across prior work include: heavy reliance on self-reported hours (social desirability bias), rare use of implicit measures (which tap automatic attitudes), limited mediation analysis to show norm(channel) mechanisms, underpowered samples for mediation and subgroup tests, and insufficient privacy-compliant data governance in LMIC contexts. There is a gap for an integrated design that combines norm experiments, implicit measures, strong IV validation, and mixed-method triangulation in a representative LMIC sample.</w:t>
      </w:r>
    </w:p>
    <w:p>
      <w:r>
        <w:t xml:space="preserve"> </w:t>
      </w:r>
    </w:p>
    <w:p>
      <w:pPr>
        <w:pStyle w:val="Heading2"/>
      </w:pPr>
      <w:r>
        <w:t>Abstract</w:t>
      </w:r>
    </w:p>
    <w:p>
      <w:r>
        <w:t>This study tests whether social gender norms about altruistic behavior causally affect unpaid eldercare in Thailand. We combine randomized norm treatments (injunctive vs descriptive cues and visibility manipulations), implicit association tasks (IAT; measures of automatic associations), incentivized behavioral tasks, and instrumental-variable (IV) analyses using historical district-level measures to estimate causal effects. The main contribution is an integrated, pre-registered mixed-method design that (1) experimentally shifts perceived norms, (2) measures both explicit and implicit norm internalization, and (3) uses IVs and mediation analysis to separate norm-driven changes from opportunity-cost channels. We will collect a clustered, stratified sample across four regions (urban and rural) with planned power to detect small-to-modest effects. Expected outcomes include (a) estimates of average treatment effects on unpaid care hours and caregiver burden, (b) evidence on whether implicit attitudes mediate behavioral change, and (c) validated IV checks and sensitivity bounds for observational identification. Results aim to inform norm-sensitive policy interventions and robust measurement practices for eldercare research in LMICs.</w:t>
      </w:r>
    </w:p>
    <w:p>
      <w:r>
        <w:t xml:space="preserve"> </w:t>
      </w:r>
    </w:p>
    <w:p>
      <w:pPr>
        <w:pStyle w:val="Heading2"/>
      </w:pPr>
      <w:r>
        <w:t>Experiments</w:t>
      </w:r>
    </w:p>
    <w:p>
      <w:r>
        <w:t>Datasets: primary household survey collected in Thailand (pilot sites: Bangkok, Chiang Mai, Ubon Ratchathani, Songkhla); sample target N per main scenario: 550 respondents per arm (total N≈1,650 for 3 arms) with cluster sampling (cluster size m≈20). Baseline variables: caregiver demographics, elder health, household income, time-use diaries (2-day recall), explicit norm scales (Likert), caregiver burden scales (e.g., depressive symptom index), and behavioral allocations. Implicit measures: tablet-based simplified Gender–Care IAT (implicit association test; measures automatic association speeds), affective priming alternative, and button-box reaction-time tasks as fallback. IV candidates (for observational analyses): historical district female labor-force participation (cohort-level), cohort female schooling attainment (schooling shocks), historical rollout date of formal eldercare facilities; data sources: national censuses, education archives, administrative facility records. Randomized arms (examples): control (neutral information); injunctive-norm treatment (messages that respected local leaders approve male caregiving); descriptive-norm treatment (messages describing rising rates of male caregiving); visibility manipulation (public recognition vs private framing). Baselines for comparison: control arm and alternative normative framings. Evaluation metrics: primary - weekly unpaid eldercare hours per caregiver (continuous); secondary - caregiver burden (continuous), binary caregiving participation, IAT D-score (implicit bias index), behavioral allocation amount (money/time). Causal estimands: average treatment effect (ATE) by arm, ATT where applicable, natural direct/indirect effects for mediation (mediator = explicit and implicit norm measures). Statistical tests and thresholds: cluster-robust SEs at cluster level, two-sided α=0.05, power 80% for MDE 0.15–0.20 SD. IV diagnostics: first-stage F-statistic &gt;10, partial R2 reported, balance/placebo checks, Conley sensitivity bounds pre-specified. Ablation and comparisons: (A) full design including IAT vs (B) design without IAT (to quantify added value of implicit measures); (C) instrumental-variable observational analysis vs experimental ATEs (to compare estimates); (D) mediation analysis with and without adjustment for measured confounders. Pre-specified data quality checks: IAT trial exclusion (&lt;250 ms or &gt;10,000 ms), minimum valid critical trials ≥20, per-site completion rate ≥70%. Analysis software: standard survey and causal inference packages (e.g., survey-weighted regressions, IV routines, mediation packages); latent fusion models (Bayesian or SEM) for triangulation. Reproducibility outputs: pre-analysis plan, code scripts, and parameter tables.</w:t>
      </w:r>
    </w:p>
    <w:p>
      <w:r>
        <w:t xml:space="preserve"> </w:t>
      </w:r>
    </w:p>
    <w:p>
      <w:pPr>
        <w:pStyle w:val="Heading2"/>
      </w:pPr>
      <w:r>
        <w:t>Risk Factors And Limitations</w:t>
      </w:r>
    </w:p>
    <w:p>
      <w:r>
        <w:t>Measurement error and bias: self-reported care hours can be affected by social desirability (people give answers they think are approved); implicit measures (IAT) may fail in low-literacy or device-poor contexts and show low reliability. Instrument validity: IVs (historical LFPR, schooling shocks) may violate exclusion if they correlate with unobserved regional trends (migration, service rollout); weak instruments raise bias and wide confidence intervals. Power limits: mediation (natural direct/indirect) tests need strong first-stage effects; with weak mediator prediction, mediation estimates will be underpowered. Missing data and MNAR (missing not at random): stigma around caregiving may cause nonresponse that biases results if not modeled. External validity: findings from four Thai regions may not generalize to other provinces or countries. Ethical risks: norm interventions or implicit tasks could cause distress or increase care burden; PDPA/privacy constraints limit data sharing. Operational risks: procurement delays for tablets or button boxes, interviewer variation, and cluster nonresponse can reduce effective sample size. Model and fusion limits: latent-variable fusion and Bayesian hierarchical SEM depend on prior choices and may be sensitive to misspecification. Computational constraints: Bayesian fusion models may require substantial computation time for large hierarchical models.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