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trade_agreements_sustainable_fisheries</w:t>
      </w:r>
    </w:p>
    <w:p>
      <w:r>
        <w:t xml:space="preserve"> </w:t>
      </w:r>
    </w:p>
    <w:p>
      <w:pPr>
        <w:pStyle w:val="Heading2"/>
      </w:pPr>
      <w:r>
        <w:t>Title</w:t>
      </w:r>
    </w:p>
    <w:p>
      <w:r>
        <w:t>Estimating the causal effect of trade agreements with fisheries provisions on marine mean trophic level using difference-in-differences combined with propensity score matching</w:t>
      </w:r>
    </w:p>
    <w:p>
      <w:r>
        <w:t xml:space="preserve"> </w:t>
      </w:r>
    </w:p>
    <w:p>
      <w:pPr>
        <w:pStyle w:val="Heading2"/>
      </w:pPr>
      <w:r>
        <w:t>Short Hypothesis</w:t>
      </w:r>
    </w:p>
    <w:p>
      <w:r>
        <w:t>Signing a free trade agreement that contains enforceable fisheries-related provisions causes an increase in a country's mean trophic level of marine catches within ten years after signing, relative to comparable countries that do not sign such agreements.</w:t>
      </w:r>
    </w:p>
    <w:p>
      <w:r>
        <w:t xml:space="preserve"> </w:t>
      </w:r>
    </w:p>
    <w:p>
      <w:pPr>
        <w:pStyle w:val="Heading2"/>
      </w:pPr>
      <w:r>
        <w:t>Related Work</w:t>
      </w:r>
    </w:p>
    <w:p>
      <w:r>
        <w:t>Three strands of prior work are directly relevant: (1) empirical studies that document temporal trends in mean trophic level (MTL) to measure ‘fishing down the food web’ often use descriptive time series and cross-country comparisons but do not identify causal policy effects; (MTL is the average position of caught species in the food chain; higher = higher trophic level). (2) trade-policy research uses difference-in-differences (DID) and panel regressions to estimate effects of trade liberalization on environmental or resource outcomes, but these studies face selection bias because countries self-select into agreements and often lack detailed coding of treaty text. (3) legal and supply-chain analyses that code environmental provisions in trade agreements provide richer policy variables but typically remain qualitative or correlational. Limitations across existing approaches include weak causal identification (policy endogeneity), coarse or inconsistent treaty coding, lack of pre-treatment comparability checks (matching), limited propagation of legal enforcement uncertainty into empirical models, and scarce integration of fisheries-specific provisions versus generic environmental clauses.</w:t>
      </w:r>
    </w:p>
    <w:p>
      <w:r>
        <w:t xml:space="preserve"> </w:t>
      </w:r>
    </w:p>
    <w:p>
      <w:pPr>
        <w:pStyle w:val="Heading2"/>
      </w:pPr>
      <w:r>
        <w:t>Abstract</w:t>
      </w:r>
    </w:p>
    <w:p>
      <w:r>
        <w:t>This study tests whether signing free trade agreements that include fisheries-related provisions causally affects marine fisheries sustainability, measured by mean trophic level (MTL) of catches. We combine a global panel of country-level MTL (1950–2018) with a comprehensive, treaty-level dataset (1947–2018) that codes fisheries provisions and enforcement characteristics. Identification uses propensity score matching (PSM) to create comparable treated and control country-years, followed by difference-in-differences (DID) estimation with country and year fixed effects and clustered standard errors. We report average treatment effects for (a) signing any FTA, and (b) signing FTAs with specific, enforceable fisheries clauses. Main contributions are (1) a reproducible legal→model mapping that translates treaty text into quantitative treatment and uncertainty priors, and (2) a robust PSM+DID pipeline with falsification and sensitivity checks. Expected outcome: evidence on whether and how legally framed trade concessions influence ecological indicators of fisheries, informing negotiators about likely ecological consequences of including fisheries conditions in trade policy.</w:t>
      </w:r>
    </w:p>
    <w:p>
      <w:r>
        <w:t xml:space="preserve"> </w:t>
      </w:r>
    </w:p>
    <w:p>
      <w:pPr>
        <w:pStyle w:val="Heading2"/>
      </w:pPr>
      <w:r>
        <w:t>Experiments</w:t>
      </w:r>
    </w:p>
    <w:p>
      <w:r>
        <w:t>Datasets: (1) Global mean trophic level (MTL) time series by country-year, 1950–2018 (outcome). (2) Trade agreement dataset, 1947–2018, with binary indicators for FTA signing by country-year and coded indicators for fisheries-related provisions (treatment variables) and enforcement features (e.g., sanctions, timetables). (3) Covariates: country GDP per capita, coastal fishery catch volume, reported subsidies, maritime fleet size, AIS/VMS coverage proxies, trade volumes (fish HS codes), governance indices, and regional fixed effects. Unit of analysis: country-year (or EEZ-year where available). Baselines: (A) naive DID without matching, (B) PSM alone (matching then pre/post mean differences), (C) DID with alternative non-parametric matching (kernel), (D) instrumental-variables (IV) if valid instrument identified (e.g., regional FTA wave timing). Matching: estimate propensity scores with logistic regression using pre-treatment covariates measured in the 5 years before treatment; perform nearest-neighbor matching with caliper 0.05 and kernel matching as sensitivity. DID specification: outcome_it = α_i + γ_t + β Treatment_it + X_it'δ + ε_it, where α_i = country fixed effects, γ_t = year fixed effects, Treatment_it = indicator for post-FTA or post-FTA-with-fisheries, X = time-varying controls; cluster SEs at country level. Dynamic tests: event-study (leads/lags) to check parallel trends. Evaluation metrics: average treatment effect on treated (ATT) on MTL with 95% CI and p-values; standardized mean differences for covariate balance (&lt;0.1 target); placebo tests (fake treatment years); Rosenbaum bounds for unobserved confounding sensitivity; alternative outcomes (catch-weighted MTL, species richness, catch per unit effort (CPUE)) for robustness. Ablation studies: (1) drop fisheries-specific provisions and estimate effect of general environmental clauses; (2) run DID without PSM to measure bias from non-comparable controls; (3) vary matching caliper (0.01–0.1) and matching algorithm (NN vs kernel); (4) include enforcement uncertainty by sampling sanction_probability from elicited distribution and propagate into treatment indicator (stochastic treatment). Report full code, data selection rules, and pre-registration of primary specification.</w:t>
      </w:r>
    </w:p>
    <w:p>
      <w:r>
        <w:t xml:space="preserve"> </w:t>
      </w:r>
    </w:p>
    <w:p>
      <w:pPr>
        <w:pStyle w:val="Heading2"/>
      </w:pPr>
      <w:r>
        <w:t>Risk Factors And Limitations</w:t>
      </w:r>
    </w:p>
    <w:p>
      <w:r>
        <w:t>Technical failure modes: low signal-to-noise in MTL trends (MTL noisy at country-year scale), mismeasurement or aggregation bias in country-level MTL, and incomplete or inconsistent treaty coding. Data biases: non-random missing data, reporting differences across countries and years, and confounding from simultaneous policy changes (subsidy reforms, fisheries management) that correlate with FTAs. Identification limits: residual selection bias if unobserved time-varying factors drive both treaty signing and MTL changes, and limited power for heterogeneity analysis if treated sample is small. Scalability and compute: Bayesian uncertainty propagation with many scenarios (e.g., 10k draws) and event-study panels may require HPC resources and large storage for intermediate matched samples. Generalization limits: results apply at country-year aggregate level and may not reflect stock- or community-level dynamics; legal coding of provisions may not capture on-the-ground enforcement, so treatment intensity may be misclassified. Evaluation biases: parallel-trends assumption may fail in some regions; Rosenbaum bounds may indicate sensitivity to hidden confounders.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