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experience_gap_paradox</w:t>
      </w:r>
    </w:p>
    <w:p>
      <w:r>
        <w:t xml:space="preserve"> </w:t>
      </w:r>
    </w:p>
    <w:p>
      <w:pPr>
        <w:pStyle w:val="Heading2"/>
      </w:pPr>
      <w:r>
        <w:t>Title</w:t>
      </w:r>
    </w:p>
    <w:p>
      <w:r>
        <w:t>Causal mixed-method analysis using event-history models and behavioral experiments to assess how founder cognitive biases affect early internationalization timing and mode of small firms</w:t>
      </w:r>
    </w:p>
    <w:p>
      <w:r>
        <w:t xml:space="preserve"> </w:t>
      </w:r>
    </w:p>
    <w:p>
      <w:pPr>
        <w:pStyle w:val="Heading2"/>
      </w:pPr>
      <w:r>
        <w:t>Short Hypothesis</w:t>
      </w:r>
    </w:p>
    <w:p>
      <w:r>
        <w:t>Founders' limited, non-contextual pre-entry international experience causally increases firms' likelihood of earlier export entry and selection of higher-commitment entry modes by raising founder overconfidence and producing miscalibrated risk perceptions.</w:t>
      </w:r>
    </w:p>
    <w:p>
      <w:r>
        <w:t xml:space="preserve"> </w:t>
      </w:r>
    </w:p>
    <w:p>
      <w:pPr>
        <w:pStyle w:val="Heading2"/>
      </w:pPr>
      <w:r>
        <w:t>Related Work</w:t>
      </w:r>
    </w:p>
    <w:p>
      <w:r>
        <w:t>Prior work spans three strands. One strand links founder experience, networks, and firm resources to internationalization timing using observational regressions and case studies; these approaches establish correlations but face endogeneity and limited measurement of cognition. A second strand uses behavioral decision research to document biases (overconfidence, anchoring, availability) in managerial choice, often in lab settings with limited firm-level follow-up. A third strand uses quasi-experimental methods (difference-in-differences, instruments, survival models) to study policy shocks and trade outcomes, but typically without integrated, validated cognitive measures or cross-country psychometric harmonization. Limitations across existing approaches include (1) weak causal leverage when cognition is unmeasured, (2) instruments that are few or poorly validated, (3) survival/mediation methods that do not account for time-varying biases, (4) small or single-country samples that hinder generalization, and (5) lack of preregistered, reproducible pipelines linking behavioral tasks to longitudinal firm outcomes.</w:t>
      </w:r>
    </w:p>
    <w:p>
      <w:r>
        <w:t xml:space="preserve"> </w:t>
      </w:r>
    </w:p>
    <w:p>
      <w:pPr>
        <w:pStyle w:val="Heading2"/>
      </w:pPr>
      <w:r>
        <w:t>Abstract</w:t>
      </w:r>
    </w:p>
    <w:p>
      <w:r>
        <w:t>This project studies how founder cognition and limited pre-entry international experience shape small firms' early internationalization decisions. We introduce the "experience gap paradox": founders may have personal or general international exposure that is not contextually matched to target markets, producing biased expectations and suboptimal entry timing or mode choices. We use a mixed-method causal design combining event-history survival models on firm panels, natural experiments from time-stamped policy and trade shocks, instrumental-variable checks, longitudinal structural equation models for mediation, and lab-in-field behavioral experiments measuring overconfidence and calibrated risk. Main contributions are (1) a validated cognition-based decision framework linking non-contextual pre-entry experience to later entry behavior, (2) pre-registered empirical tests that combine policy shocks with psychometrically harmonized measures across countries, and (3) concrete estimates of the bias-mediated effect on time-to-first-export and mode selection. Expected outcomes are testable causal estimates of cognition-driven missteps in early internationalization and measurement tools suitable for policy and practitioner use.</w:t>
      </w:r>
    </w:p>
    <w:p>
      <w:r>
        <w:t xml:space="preserve"> </w:t>
      </w:r>
    </w:p>
    <w:p>
      <w:pPr>
        <w:pStyle w:val="Heading2"/>
      </w:pPr>
      <w:r>
        <w:t>Experiments</w:t>
      </w:r>
    </w:p>
    <w:p>
      <w:r>
        <w:t>Datasets: firm registries and business directories; customs/export declarations for first-export dates and shipment values; WTO/UN WITS/UN COMTRADE tariff and policy change logs; national gazettes for visa/work-permit and subsidy rules; EM-DAT and OxCGRT for shocks; pilot survey/behavioral data (N≈300 per language) and longitudinal panel baseline N≈2,000 firms across 4 countries (~500 per country). Baselines: (A) econometric baseline without cognitive measures (Cox PH with firm controls), (B) observational DiD on policy shocks, (C) randomized lab-in-field control vs. treatment. Primary models: Cox proportional hazards (time-to-first-export), multinomial logit for entry-mode choice, longitudinal SEM for mediation, and IV two-stage models using regional pre-founding trade intensity or proximity to ports as instruments. Evaluation metrics: hazard ratios with 95% CIs; p-values; mediation indirect effect sizes and percent mediated; model fit indices for SEM (CFI, TLI, RMSEA); calibration Brier score for forecast tasks; Cronbach's alpha and graded-response IRT discrimination parameters for scales; AUC/accuracy for mode-choice prediction. Experimental setup: 1) Observational causal test — exploit exogenous shocks (e.g., visa liberalization) with event-study windows pre-specified (leads −24 to −1 months; lags 0 to +36 months), cluster-robust SEs at region level, and staggered-DiD estimators (Callaway &amp; Sant'Anna or Sun &amp; Abraham) as needed. 2) IV checks — first-stage F&gt;10 requirement, overidentification tests if &gt;1 instrument; placebo regressions on domestic-only outcomes. 3) Behavioral experiment — randomize brief training or framing (treatment) vs. neutral (control) in lab-in-field tasks measuring overconfidence and calibrated risk; measure immediate effect on task choices and subsequent firm entry behavior in follow-up waves. Ablation studies: (i) remove cognitive mediators from SEM to compare direct vs. total effects, (ii) replace non-contextual experience index with objective network measures (number of foreign partners) to test specificity, (iii) substitute Cox PH with Aalen additive or flexible parametric models to test PH assumption sensitivity. Pre-registration: primary estimand, covariate list, event windows, cluster definitions, and small-cluster inference rules will be pre-registered on OSF prior to analysis.</w:t>
      </w:r>
    </w:p>
    <w:p>
      <w:r>
        <w:t xml:space="preserve"> </w:t>
      </w:r>
    </w:p>
    <w:p>
      <w:pPr>
        <w:pStyle w:val="Heading2"/>
      </w:pPr>
      <w:r>
        <w:t>Risk Factors And Limitations</w:t>
      </w:r>
    </w:p>
    <w:p>
      <w:r>
        <w:t>Weak or few instruments: some policy shocks may produce too few treated clusters, limiting causal claims. Small cluster counts: region-level shocks across four countries can create few clusters and require small-cluster inference adjustments. Low event rates: few firms may export during the window, reducing power for survival tests. Attrition and replenishment: panel dropout can bias results and complicate longitudinal mediation. Measurement non-invariance: cognitive scales may not hold the same meaning across languages, forcing item loss or partial invariance. Proportional hazards violation: Cox model assumptions may fail, affecting hazard estimates. Spillovers and interference: firms in nearby areas may be affected indirectly, violating SUTVA. Lab-in-field priming: experimental tasks could change subsequent survey responses or behavior (measurement interference). Legal and governance delays: GDPR and cross-border DSAs may delay data sharing and reduce usable sample. External validity: results may not generalize beyond SMEs, the selected countries, or contexts with different institutional distances. Computational limits are minor but complex multi-level SEMs with Bayesian estimation may require substantial compute and specialist skills.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