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modularity_data_quality_quant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deterministic data-quality and measurement framework to quantify modularity effects in industrial product families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Implementing a structured data-management framework combined with deterministic module-boundary extraction and provenance-linked annotations reduces the variance of estimated modularity effects on lifecycle cost by at least 20% compared to estimates from current unstructured industrial data practices.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measure modularity effects include rule-based heuristics that use BOM hierarchies and connector counts, graph-based community detection on multi-layer part/function networks, NLP name-matching for semantic grouping, lifecycle cost mapping, and econometric analyses that relate modularity metrics to costs. Limitations across these approaches are: inconsistent metric definitions (different cohesion/connector formulas and units), weak or missing provenance for annotated boundaries, ad hoc preprocessing that creates irreproducible inputs, limited attention to inter-rater reliability and measurement error correction, sparse guidance on power/sample trade-offs under class imbalance, insufficient validation of clustering stability, and few implemented privacy-preserving sharing protocols. As a result, prior methods produce unstable modularity estimates, poorly quantified uncertainty, and biased econometric inferences when applied to industrial product families.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Quantifying the effects of modularity in product families is hindered by poor data quality, inconsistent boundary definitions, and lack of reproducible measurement protocols. We propose a deterministic data-quality and measurement framework that (1) formalizes modularity metrics with mathematical definitions and units, (2) enforces a canonical JSON schema for multi-source inputs (BOM, CAD, ECAD, software, ECO logs), (3) applies deterministic module-boundary extraction (rule-based and spectral graph methods) with provenance-tagged annotations, and (4) propagates label uncertainty into lifecycle-cost estimates via SIMEX and Monte Carlo. Main contributions are precise metric specifications, an annotation and provenance protocol enabling reproducible ICC(2,k) computation, and an uncertainty-propagation pipeline that yields decision-relevant outputs such as EVPI (expected value of perfect information). Expected outcomes include reduced measurement variance for modularity metrics, auditable linkage from module definitions to cost impacts, and concrete sample-size guidance for industrial pilots. This framework aims to make modularity quantification auditable and usable for investment and design decisions.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Synthetic benchmark: 3 product variants, ~50 parts, mixed mechanical/electrical/software layers, ground-truth modules, 200 synthetic ECO events. (B) Industrial pilot: anonymized data from 2-3 partners, 2 product families each, per-family BOMs/CAD/ECAD, ECO logs (≥100 ECOs per family if available), cost/test records, production volumes. Baselines: (1) ad-hoc industrial practice (raw vendor IDs, no provenance), (2) rule-based cohesion-only pipeline, (3) graph-based community detection only, (4) human-only annotations (majority vote), (5) hybrid deterministic pipeline (proposed). Evaluation metrics: Adjusted Rand Index (ARI) for module label match, ICC(2,k) for inter-rater reliability (ICC explained: measures agreement across raters), precision/recall/F1 for boundary assignment, coefficient SE and RMSE for econometric cost regressions, bias of estimated modularity effect (difference from ground truth in synthetic data), EVPI for decision value. Experimental setup: Preprocess with deterministic ID canonicalization and unit normalization; run stratified 5-fold cross-validation for threshold calibration over τ_coh ∈ {0.50,0.55,0.60,0.65,0.70,0.75} and interface-entropy thresholds; use spectral clustering on normalized Laplacian (deterministic seed) and a deterministic Infomap variant. Stability and sensitivity: perform 100 perturbation trials with edge-weight noise ±5% and report ARI variance and variation-of-information (VI). Measurement-error correction: apply SIMEX with lambda ∈ {0.5,1.0,1.5,2.0} and fit extrapolation polynomial degree 2; validate SIMEX on synthetic dataset. Uncertainty propagation: run 1,000 Monte Carlo draws sampling module-labels according to confidence distributions and recompute module-level cost model per draw; report NPV distribution and EVPI. Ablations: (i) remove provenance metadata and compare ARI/ICC and econometric SEs; (ii) remove NLP normalization and report name-match error and downstream effect on module labels; (iii) vary positive-class prevalence and plot power vs prevalence and AUC curves. Reproducibility: fix random seeds for all algorithms, log software and schema versions, and provide notebooks for synthetic experiments.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deterministic clustering may be unstable on very large or sparse multi-layer graphs, leading to high ARI variance; imputations for missing connectors can introduce bias if part-type medians are unrepresentative. Data biases: industrial partners may provide non-random or incomplete ECO logs, producing selection bias and misleading power estimates. Evaluation biases: ground-truth annotations reflect human judgment and may embed cultural or domain-specific conventions limiting generalizability. Scalability limits: spectral clustering and adjacency-matrix operations may require substantial memory on BOM/CAD graphs with millions of nodes; computational cost grows nonlinearly with graph size. Privacy and legal constraints: partner willingness to share raw BOM/CAD may be limited, forcing aggregated or federated inputs that reduce detail and may increase measurement error. Limits to causal identification: valid instrumental variables may be unavailable, compromising causal claims; DiD assumptions (parallel trends) may fail in practice. Monte Carlo and SIMEX assumptions: assumed measurement-error distributions and prior choices affect SIMEX extrapolation and EVPI sensitivity, potentially producing misleading confidence if assumptions are incorrect. Generalization limits: results calibrated on Danish industrial data may not transfer to other sectors or countries with different supplier vocabularies and engineering practices.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