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shrinkflation_japan_iv_cv</w:t>
      </w:r>
    </w:p>
    <w:p>
      <w:r>
        <w:t xml:space="preserve"> </w:t>
      </w:r>
    </w:p>
    <w:p>
      <w:pPr>
        <w:pStyle w:val="Heading2"/>
      </w:pPr>
      <w:r>
        <w:t>Title</w:t>
      </w:r>
    </w:p>
    <w:p>
      <w:r>
        <w:t>Instrumental-variable and computer-vision analysis of shrinkflation incidence and household welfare effects in Japan under rising input costs</w:t>
      </w:r>
    </w:p>
    <w:p>
      <w:r>
        <w:t xml:space="preserve"> </w:t>
      </w:r>
    </w:p>
    <w:p>
      <w:pPr>
        <w:pStyle w:val="Heading2"/>
      </w:pPr>
      <w:r>
        <w:t>Short Hypothesis</w:t>
      </w:r>
    </w:p>
    <w:p>
      <w:r>
        <w:t>Exogenous input-cost shocks (lagged commodity futures, origin shipping-cost spikes, or exchange-rate surprises) causally increase the probability that firms implement shrinkflation (net-weight decline ≥2% with nominal price change ≤1%) within six months.</w:t>
      </w:r>
    </w:p>
    <w:p>
      <w:r>
        <w:t xml:space="preserve"> </w:t>
      </w:r>
    </w:p>
    <w:p>
      <w:pPr>
        <w:pStyle w:val="Heading2"/>
      </w:pPr>
      <w:r>
        <w:t>Related Work</w:t>
      </w:r>
    </w:p>
    <w:p>
      <w:r>
        <w:t>Existing work measures hidden inflation and product-size changes using scanner data, CPI microdata, or manual audits and often reports descriptive incidence of shrinkflation and possible CPI bias. Other studies use price-cost pass-through instruments (commodity prices, freight, FX) to study price adjustments, and separate work applies computer vision (CV) to product images for label extraction. Limitations: most prior approaches are descriptive or correlational and do not combine strong exogenous instruments with validated measurement; CV validation is often limited or absent; household-level welfare linkage is rare; treatment of SKU harmonization, GTIN churn, multipacks, and reformulations is inconsistent; over-reliance on OLS/naive comparisons leaves endogeneity unresolved; and many studies lack pre-registered thresholds, multiple-testing control, or privacy-preserving household outputs. This project addresses these gaps by jointly using IV identification, harmonized SKU rules, CV validation, and linked welfare estimation.</w:t>
      </w:r>
    </w:p>
    <w:p>
      <w:r>
        <w:t xml:space="preserve"> </w:t>
      </w:r>
    </w:p>
    <w:p>
      <w:pPr>
        <w:pStyle w:val="Heading2"/>
      </w:pPr>
      <w:r>
        <w:t>Abstract</w:t>
      </w:r>
    </w:p>
    <w:p>
      <w:r>
        <w:t>We study whether firms respond to input-cost shocks by implementing shrinkflation—reducing net content while keeping nominal prices stable—and quantify the effect on measured inflation and household welfare in Japan. We combine three identification strategies (lagged global commodity futures, origin-specific shipping-cost spikes, and exogenous exchange-rate surprises) with a harmonized SKU pipeline (GTIN-first matching, ingredient diff checks) and a computer-vision pipeline that extracts net-weight from product images. We estimate causal shrinkage incidence using two-stage least squares (IV) and dynamic-panel methods, validate CV detections with human annotators, and link validated SKU-level exposure to household scanner and survey data to compute compensating and equivalent variation (simple measures of welfare loss). Main contributions: (1) causal estimates of input-cost→shrinkflation, (2) validated measurement protocol combining GTIN rules and CV, and (3) quantified CPI bias and distributional welfare impacts across households. Expected outcome: transparent, reproducible estimates informing inflation measurement and consumer-protection policy.</w:t>
      </w:r>
    </w:p>
    <w:p>
      <w:r>
        <w:t xml:space="preserve"> </w:t>
      </w:r>
    </w:p>
    <w:p>
      <w:pPr>
        <w:pStyle w:val="Heading2"/>
      </w:pPr>
      <w:r>
        <w:t>Experiments</w:t>
      </w:r>
    </w:p>
    <w:p>
      <w:r>
        <w:t>Datasets: (1) Retail scanner panel for Japan (Nielsen/IRI or equivalent) with SKU-month sales, nominal prices, and GTINs; (2) BOJ/Statistics CPI microdata; (3) GS1 GTIN registry and ingredient lists; (4) product images from major retailers (image-provider licenses); (5) Japan Customs / UN Comtrade import flows; (6) household consumption survey (FIES or national household panel) linked to scanner baskets. Baselines: (A) naive rule-based shrinkage incidence (net-weight drop computed from scanner metadata only, no CV, no instruments); (B) OLS panel regressions (no instrument); (C) IV with single instrument (commodity futures) vs. multi-instrument IV. Primary estimators: two-stage least squares (2SLS) with instruments described above (primary), system GMM (Arellano–Bover/Blundell–Bond) for dynamic panels, and LIML/AR/CLR as weak-IV-robust alternatives. Clustering and inference: standard errors clustered at firm level (primary) and product×market for robustness; alpha=0.05; main hypotheses use Bonferroni familywise correction, exploratory tests use Benjamini–Hochberg FDR. Computer-vision setup: labeled image pilot (1,000 stratified images, two annotators each) for human-validation; ML training set target = 8,000 images, validation = 2,000, test = 2,000 (stratified by category, country, brand). CV models: OCR-only baseline (text extraction), CNN region detector baseline, and ensemble OCR+CNN transformer (primary). CV metrics: per-class precision, recall, F1, ROC-AUC, and Cohen’s kappa; report FP/FN for net-weight detection and confusion matrices. Identification diagnostics: first-stage F-statistics and partial R2 by SKU/brand/market (require F&gt;10), Kleibergen–Paap rk for clustered panels, Hansen/Sargan overidentification where applicable, placebo regressions (same-GTIN cross-market, unrelated-category falsification, pre-trend leads at 6 and 12 months), and permutation/randomization inference for event studies and synthetic control p-values. Welfare estimation: random-coefficients logit (BLP) primary demand model with IV for prices; robustness: nested logit and Poisson PML. Outcomes: shrinkage incidence rate, IV causal effect (LATE) on shrink probability, CPI bias expressed as percent point difference in measured inflation after unit-price correction, household-level compensating and equivalent variation (CV/EV) distributions. Ablations: (1) CV adjudicated vs. metadata-only detection; (2) IV set variations (commodity only, commodity+shipping, commodity+shipping+FX); (3) shrinkage thresholds (1%, 2%, 5%) and windows (1,3,6 months); (4) estimator choices (2SLS vs LIML vs system GMM). Power and MDE: simulate MDEs using observed SKU-month variance at aggregated levels and report detectable effect sizes for primary sample sizes; report power curves for welfare metrics under elasticity grid (0.2–2.0). Pre-registration: all thresholds, estimators, clustering, and multiple-testing rules are pre-specified and published prior to main analysis.</w:t>
      </w:r>
    </w:p>
    <w:p>
      <w:r>
        <w:t xml:space="preserve"> </w:t>
      </w:r>
    </w:p>
    <w:p>
      <w:pPr>
        <w:pStyle w:val="Heading2"/>
      </w:pPr>
      <w:r>
        <w:t>Risk Factors And Limitations</w:t>
      </w:r>
    </w:p>
    <w:p>
      <w:r>
        <w:t>Technical CV failures: OCR and image variability (occlusion, nonstandard fonts, low resolution) can cause FP/FN; CV models may not generalize across packaging regimes. Weak instruments: commodity, shipping, or FX shocks may be weak or violate exclusion restrictions if they influence domestic demand or scanner coverage. Measurement bias: GTIN churn, multipack changes, reformulations, and GTIN reuse can misclassify events and cause selection bias; ambiguous-case prevalence may reduce sample or bias estimates. Representativeness: scanner panels may under-cover small channels (convenience, discount stores) and skew incidence estimates. Privacy and linkage: inability to link household and scanner data due to DUAs or legal limits reduces welfare precision. Differential privacy: DP parameters (epsilon, delta) necessary for public releases reduce utility of synthetic outputs. Computational cost: large-scale CV training, IV panel estimation, and model registry require substantial compute and engineering resources. External validity: results for Japan and packaged consumer goods may not generalize to services, fresh foods, or countries with different labeling rules. Strategic firm behavior: firms may time shrinkage to avoid detection or manipulate packaging metadata, complicating causal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