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unequal_age_household_cee</w:t>
      </w:r>
    </w:p>
    <w:p>
      <w:r>
        <w:t xml:space="preserve"> </w:t>
      </w:r>
    </w:p>
    <w:p>
      <w:pPr>
        <w:pStyle w:val="Heading2"/>
      </w:pPr>
      <w:r>
        <w:t>Title</w:t>
      </w:r>
    </w:p>
    <w:p>
      <w:r>
        <w:t>Comparative estimation of income inequality by age and household type in Central and Eastern Europe using harmonized EU-SILC microdata, institutional imputation, and microsimulation</w:t>
      </w:r>
    </w:p>
    <w:p>
      <w:r>
        <w:t xml:space="preserve"> </w:t>
      </w:r>
    </w:p>
    <w:p>
      <w:pPr>
        <w:pStyle w:val="Heading2"/>
      </w:pPr>
      <w:r>
        <w:t>Short Hypothesis</w:t>
      </w:r>
    </w:p>
    <w:p>
      <w:r>
        <w:t>Imputing incomes for institutionalised elderly and correcting survey underreporting causes a statistically significant reduction in measured income inequality (Gini) among elderly-headed households in corporatist post-socialist CEE states between 2005 and 2022 relative to estimates from unadjusted survey data.</w:t>
      </w:r>
    </w:p>
    <w:p>
      <w:r>
        <w:t xml:space="preserve"> </w:t>
      </w:r>
    </w:p>
    <w:p>
      <w:pPr>
        <w:pStyle w:val="Heading2"/>
      </w:pPr>
      <w:r>
        <w:t>Related Work</w:t>
      </w:r>
    </w:p>
    <w:p>
      <w:r>
        <w:t>Existing studies measure income inequality using household surveys (EU-SILC, LIS) or administrative aggregates, and sometimes apply simple scaling to match national accounts. Approaches to correct underreporting include component scaling (rescaling income components to benchmarks), donor imputation (assigning values from similar respondents), and Pareto-tail methods for top incomes. Microsimulation studies encode tax/pension rules for counterfactuals but often lack transparent, versioned parameter files. Small-area and small-cell estimation uses hierarchical Bayesian pooling or Fay–Herriot models to borrow strength, but prior choices and spatial covariance are inconsistently reported. Key limitations: many analyses exclude institutionalised populations or ignore their imputed incomes; underreporting and informal income are incompletely corrected or their uncertainty not fully propagated; survey design variance is often combined imperfectly with imputation and simulation uncertainty; and cross-country benefit/tax mapping and household-type harmonization are not standardized, limiting comparability.</w:t>
      </w:r>
    </w:p>
    <w:p>
      <w:r>
        <w:t xml:space="preserve"> </w:t>
      </w:r>
    </w:p>
    <w:p>
      <w:pPr>
        <w:pStyle w:val="Heading2"/>
      </w:pPr>
      <w:r>
        <w:t>Abstract</w:t>
      </w:r>
    </w:p>
    <w:p>
      <w:r>
        <w:t>This study evaluates how demographic aging and household composition shape income inequality in Central and Eastern Europe (CEE) between 2005 and 2022. We produce harmonized, equivalised household disposable income series from EU-SILC and LIS microdata and implement a dual-series strategy: (A) survey-based estimates, and (B) augmented estimates that add institutionalised residents using admin counts with age×sex×region income imputation. We apply component scaling to reconcile microdata with national accounts, donor imputation for informal earnings, and Pareto-tail correction for top incomes. For small or sparse demographic cells we use Bayesian partial pooling and Fay–Herriot small-area models with pre-registered priors and spatial covariance. We propagate uncertainty by combining replicate bootstrap, multiple imputation pooling, and Monte Carlo microsimulation draws. The main contribution is a reproducible pipeline that quantifies how inclusion of institutional incomes and informal-income correction change measured inequality by age and household type, and compares outcomes across liberal and corporatist post-socialist welfare typologies. Expected outcomes are more accurate, policy-relevant measures of elderly poverty and household-level inequality with explicit uncertainty bounds.</w:t>
      </w:r>
    </w:p>
    <w:p>
      <w:r>
        <w:t xml:space="preserve"> </w:t>
      </w:r>
    </w:p>
    <w:p>
      <w:pPr>
        <w:pStyle w:val="Heading2"/>
      </w:pPr>
      <w:r>
        <w:t>Experiments</w:t>
      </w:r>
    </w:p>
    <w:p>
      <w:r>
        <w:t>Datasets: EU-SILC microdata (cross-section and longitudinal strands) for target CEE countries (Poland, Czechia, Hungary, Slovakia, Romania, Bulgaria, Estonia/Latvia/Lithuania where available) for years 2005 and 2022; LIS where EU-SILC access limited; national pension/LTC admin aggregates; national accounts (household disposable income); regional median rents and public LTC spending. Baselines: (1) unadjusted survey estimates using standard weights; (2) survey estimates with OECD-modified equivalence only; (3) microsimulation without underreporting/top-income correction. Proposed pipeline: harmonize variables and household-type taxonomy; produce series A (survey-only) and series B (augmented with institutional imputation). Corrections: component scaling to match national accounts by income source; donor imputation for informal earnings (predictors: sector, region, age, employment status); Pareto tail fitting for top incomes. Small-area models: Bayesian partial pooling and Fay–Herriot with spatial covariance; pre-register priors and test via WAIC/LOO. Variance and uncertainty: produce 500 bootstrap replicate weights; perform multiple imputation with m=20 draws; run microsimulation Monte Carlo with 1000 draws. Evaluation metrics: Gini, Atkinson (ε=0.5,1,2), Theil, P90/P10, poverty headcount (60% median), Shapley decomposition by income source, coverage ratio (micro vs admin), RMSE of simulated entitlements vs admin aggregates, cell CVs. Ablation studies: compare full pipeline vs (a) no institutional augmentation, (b) no underreporting corrections, (c) no Pareto top correction, (d) alternative equivalence scales, (e) alternative small-area priors. Statistical tests: compute bootstrap CIs and test differences between series A and B and between liberal vs corporatist groups using clustered standard errors by country-year.</w:t>
      </w:r>
    </w:p>
    <w:p>
      <w:r>
        <w:t xml:space="preserve"> </w:t>
      </w:r>
    </w:p>
    <w:p>
      <w:pPr>
        <w:pStyle w:val="Heading2"/>
      </w:pPr>
      <w:r>
        <w:t>Risk Factors And Limitations</w:t>
      </w:r>
    </w:p>
    <w:p>
      <w:r>
        <w:t>Data access delays or restricted TRE approvals that limit use of administrative registers; incomplete or inconsistent coverage of institutionalised populations across countries leading to biased augmentation; persistent underreporting of informal income that cannot be fully recovered from available benchmarks; model misspecification in small-area Bayesian models or incorrect spatial covariance choices causing biased smoothing; sensitivity of results to prior choices or number of imputation draws; complex, conditional, or in-kind benefits that are hard to map to cash equivalents leading to comparability issues; small effective sample sizes in many age×household cells reducing precision despite pooling; high computational cost for nested bootstrap + multiple imputation + Monte Carlo ensembles limiting reproducibility on limited HPC; findings limited to selected CEE countries and the 2005–2022 period and may not generalize to other regions or periods.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