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organic_innovations_survey_trials</w:t>
      </w:r>
    </w:p>
    <w:p>
      <w:r>
        <w:t xml:space="preserve"> </w:t>
      </w:r>
    </w:p>
    <w:p>
      <w:pPr>
        <w:pStyle w:val="Heading2"/>
      </w:pPr>
      <w:r>
        <w:t>Title</w:t>
      </w:r>
    </w:p>
    <w:p>
      <w:r>
        <w:t>Assessing stakeholder acceptance and development potential of organic farming innovations using randomized encouragement, survey stratification, and on-farm trials</w:t>
      </w:r>
    </w:p>
    <w:p>
      <w:r>
        <w:t xml:space="preserve"> </w:t>
      </w:r>
    </w:p>
    <w:p>
      <w:pPr>
        <w:pStyle w:val="Heading2"/>
      </w:pPr>
      <w:r>
        <w:t>Short Hypothesis</w:t>
      </w:r>
    </w:p>
    <w:p>
      <w:r>
        <w:t>Randomized encouragement to participate in on-farm trials increases actual adoption of prioritized organic-farming innovations within 12 months compared with no encouragement.</w:t>
      </w:r>
    </w:p>
    <w:p>
      <w:r>
        <w:t xml:space="preserve"> </w:t>
      </w:r>
    </w:p>
    <w:p>
      <w:pPr>
        <w:pStyle w:val="Heading2"/>
      </w:pPr>
      <w:r>
        <w:t>Related Work</w:t>
      </w:r>
    </w:p>
    <w:p>
      <w:r>
        <w:t>Existing approaches combine surveys, demonstration events, and on-farm trials. Survey-only studies measure attitudes and intent but suffer from selection bias (attendees differ from the wider population) and limited causal claims. Observational analyses of adoption use registry data and weighting to improve representativeness but remain vulnerable to unobserved confounding. Randomized encouragement designs (giving vouchers or invitations) allow causal inference about uptake but face partial compliance and spillovers between participants. Stepped-wedge rollouts stagger interventions over time to improve logistics and inference but can be confounded by time trends. Instrumental-variable (IV) approaches (e.g., outreach timing or distance to demo) infer local causal effects but rely on strong exclusion assumptions. Soil and biodiversity monitoring methods (composite soil cores, pitfall traps, DNA assays) provide ecological outcomes but are costly and limited by lab throughput. Limitations across methods include low response rates, clustering effects not fully accounted for, limited power for ecological endpoints, potential contamination/spillovers, and governance/privacy constraints for registry linkage.</w:t>
      </w:r>
    </w:p>
    <w:p>
      <w:r>
        <w:t xml:space="preserve"> </w:t>
      </w:r>
    </w:p>
    <w:p>
      <w:pPr>
        <w:pStyle w:val="Heading2"/>
      </w:pPr>
      <w:r>
        <w:t>Abstract</w:t>
      </w:r>
    </w:p>
    <w:p>
      <w:r>
        <w:t>We evaluate which innovations and strategies for organic farming are accepted by stakeholders and which have the largest near-term development potential by combining a stratified survey at organic field days, a registry-based probability sample, randomized encouragement to join trials, and targeted on-farm experiments with ecological monitoring. The study measures adoption intent and behavior, farm economics, soil organic carbon (SOC), and a standardized biodiversity index. Main contributions: (1) a preregistered causal identification plan using randomized encouragement and stepped-wedge designs with explicit compliance measurement; (2) harmonized ecological sampling and a reproducible prioritization rubric to select innovations for trials; (3) integrated multilevel and IV analyses that jointly evaluate social acceptance, economic outcomes, and ecological impacts. Expected outcome: robust, reproducible estimates of encouragement effects on adoption (ITT and LATE), economic returns (€/ha), SOC change (%), and biodiversity responses, informing scalable development pathways for organic farming innovations.</w:t>
      </w:r>
    </w:p>
    <w:p>
      <w:r>
        <w:t xml:space="preserve"> </w:t>
      </w:r>
    </w:p>
    <w:p>
      <w:pPr>
        <w:pStyle w:val="Heading2"/>
      </w:pPr>
      <w:r>
        <w:t>Experiments</w:t>
      </w:r>
    </w:p>
    <w:p>
      <w:r>
        <w:t>Datasets: (a) Intercept survey at organic field days: target 2,400 completed responses across four strata (600/stratum). (b) Registry-based probability sample oversampling non-attendees 2×. (c) On-farm trial dataset: ~64 farms (16 per prioritized innovation bundle) implementing 2×2 factorial treatments where feasible. (d) Soil and biodiversity measurements per plot at baseline, end-of-season, and 12-month follow-up following harmonized protocols (three depths, 20 cores, 10% duplicates; 3 pitfall traps, 3 sweep nets, 5 earthworm subsamples). Baselines for comparison: (1) observational weighted estimates (no encouragement), (2) randomized encouragement arms, (3) stepped-wedge rollout arms. Evaluation metrics: binary adoption within 12 months (primary), adoption-certainty scale 0–10, gross margin €/ha (continuous), SOC change % (continuous), biodiversity index (standardized z-score combining earthworm density, arthropod richness, microbial biomass C). Statistical methods: ITT estimated by multilevel GLMMs (generalized linear mixed models; models accounting for clustered data with random intercepts for cluster), LATE/CACE estimated via 2SLS IV using random assignment as instrument (instrumental variable), hierarchical Bayesian meta-models to synthesize trials and survey results, multiple imputation for missing data. Hypothesis tests: 95% confidence intervals, p-values, Holm step-down for primary family, FDR for secondary family. Power inputs: survey MDE ≈0.08 per stratum (n=600), pooled MDE ≈0.05 (n=2,400); economic MDE ≈€150–250/ha depending on SD; SOC MDE ≈0.2% with typical SDs. Ablation studies: (A) compare randomized encouragement vs stepped-wedge vs observational baseline; (B) drop ecological measures to evaluate contribution of ecological data to inference; (C) vary biodiversity index weighting schemes (equal weights, variance-based weights, expert-weighted) and report sensitivity; (D) compare randomization unit choices (registry individual vs event attendee vs farm) in simulated and empirical power and bias. Compliance measures: redemption codes, uploaded trial agreements, geotagged photos, SMS check-ins. Analysis scripts and power/MDE matrices pre-registered and versioned.</w:t>
      </w:r>
    </w:p>
    <w:p>
      <w:r>
        <w:t xml:space="preserve"> </w:t>
      </w:r>
    </w:p>
    <w:p>
      <w:pPr>
        <w:pStyle w:val="Heading2"/>
      </w:pPr>
      <w:r>
        <w:t>Risk Factors And Limitations</w:t>
      </w:r>
    </w:p>
    <w:p>
      <w:r>
        <w:t>1) Low response or adherence: field-day and registry response rates may be below assumptions, reducing power and increasing bias. 2) Partial compliance: randomized encouragement yields noncompliance, requiring IV/LATE estimates that identify effects only for compliers. 3) Spillovers and contamination: social networks or local proximity can transmit encouragement effects beyond treated units, biasing ITT estimates if buffers infeasible. 4) Clustering and variable cluster sizes: high intracluster correlation (ICC) or unequal cluster sizes can reduce effective sample size; power tables depend on ICC assumptions. 5) Ecological measurement limits: SOC and biodiversity changes are often small and slow, may be below detectable thresholds within 12 months; lab throughput and costs (e.g., metabarcoding) may constrain sample sizes. 6) Index construction sensitivity: biodiversity index results depend on weighting and transformation choices, affecting interpretation and comparability. 7) GDPR and linkage constraints: registry linkage may fail for many participants, reducing longitudinal follow-up. 8) External validity: field-day attendees and trial farms may not represent all organic farmers, limiting generalization. 9) Ethical concerns: vouchers could influence voluntary consent or create perceived coercion; trials might impose agronomic risks on participating farms. 10) Modeling limitations: GLMMs, IV, and Bayesian syntheses rely on modeling assumptions (random-effects distribution, exclusion restriction) that, if violated, weaken causal claims.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