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e_waste_dismantle_cf_inventory</w:t>
      </w:r>
    </w:p>
    <w:p>
      <w:r>
        <w:t xml:space="preserve"> </w:t>
      </w:r>
    </w:p>
    <w:p>
      <w:pPr>
        <w:pStyle w:val="Heading2"/>
      </w:pPr>
      <w:r>
        <w:t>Title</w:t>
      </w:r>
    </w:p>
    <w:p>
      <w:r>
        <w:t>A process-level carbon footprint accounting method that links daily facility electricity consumption to daily dismantling volumes for China's e-waste dismantling sector</w:t>
      </w:r>
    </w:p>
    <w:p>
      <w:r>
        <w:t xml:space="preserve"> </w:t>
      </w:r>
    </w:p>
    <w:p>
      <w:pPr>
        <w:pStyle w:val="Heading2"/>
      </w:pPr>
      <w:r>
        <w:t>Short Hypothesis</w:t>
      </w:r>
    </w:p>
    <w:p>
      <w:r>
        <w:t>Linking daily facility-level electricity consumption with daily dismantling volumes produces per-tonne carbon emission factors for e-waste dismantling that differ by at least 10% (detectable at alpha=0.05) from emission factors derived using annualized or inventory-level energy allocation.</w:t>
      </w:r>
    </w:p>
    <w:p>
      <w:r>
        <w:t xml:space="preserve"> </w:t>
      </w:r>
    </w:p>
    <w:p>
      <w:pPr>
        <w:pStyle w:val="Heading2"/>
      </w:pPr>
      <w:r>
        <w:t>Related Work</w:t>
      </w:r>
    </w:p>
    <w:p>
      <w:r>
        <w:t>Existing approaches to e-waste carbon accounting fall into three broad classes: top-down inventory/registry methods that use annual or sector-level energy and material flows; lifecycle assessment (LCA) studies that apply process or product life-cycle models using typical emission factors; and bottom-up field or lab studies that measure specific emissions (e.g., open burning, acid leaching). Limitations include coarse temporal resolution (annual averages) that mask daily process variability; under-representation of informal dismantlers and episodic events; weak linkage between measured instantaneous fluxes and per-tonne scaling rules; incomplete refrigerant bank accounting for high‑GWP species; and limited uncertainty propagation that neglects correlations and sampling-cluster structure. Advanced data-driven models (big data/AI) offer spatial patterning but often rely on biased training data and lack field-validated upscaling rules. No current method simultaneously integrates daily metered electricity, daily dismantling volumes, process-level flux validation, and rigorous sampling-weighted uncertainty suitable for formal+informal sectors.</w:t>
      </w:r>
    </w:p>
    <w:p>
      <w:r>
        <w:t xml:space="preserve"> </w:t>
      </w:r>
    </w:p>
    <w:p>
      <w:pPr>
        <w:pStyle w:val="Heading2"/>
      </w:pPr>
      <w:r>
        <w:t>Abstract</w:t>
      </w:r>
    </w:p>
    <w:p>
      <w:r>
        <w:t>We present a field-based method to produce a dismantling-process carbon inventory for e-waste in China by tightly coupling daily facility electricity consumption with daily dismantling volumes for key device classes. The approach collects stratified cluster samples across formal and informal facilities, measures instantaneous process fluxes (dismantling, open burning, acid leaching) and refrigerant releases, and converts those fluxes to per-tonne emission factors using measured duty cycles and process duration. Validation uses mass-balance closure and paired full-shift vs short-burst measurements to derive correction factors. The main contribution is a reproducible upscaling workflow that yields daily-resolved, per-tonne CO2e factors with quantified uncertainty (Monte Carlo with pilot-informed priors and copula-based correlations). Expected outcomes include (1) refined emission factors that reflect operational variability and informal practices, (2) an explicit refrigerant bank leakage inventory mapped to GWP metrics, and (3) transparent uncertainty bounds for policy-relevant estimates. The method enables more accurate local and provincial carbon accounting and supports targeted mitigation and regulatory interventions.</w:t>
      </w:r>
    </w:p>
    <w:p>
      <w:r>
        <w:t xml:space="preserve"> </w:t>
      </w:r>
    </w:p>
    <w:p>
      <w:pPr>
        <w:pStyle w:val="Heading2"/>
      </w:pPr>
      <w:r>
        <w:t>Experiments</w:t>
      </w:r>
    </w:p>
    <w:p>
      <w:r>
        <w:t>Datasets: 1) Formal site list and annual throughput from provincial registries. 2) Informal site lists from hotspot mapping and respondent-driven sampling (RDS) seeds. 3) Daily electricity meter logs (kWh/day) for each participating facility. 4) Daily dismantling logs: device counts and mass by device class (refrigerators, TVs, PCs, small appliances, mixed WEEE). 5) Instantaneous emission measurements: chamber fluxes (g/s), open-burn plume transects (ppm × wind), canister VOC samples, and refrigerant-species mass via calibrated analyzers. 6) Laboratory compositional analyses (ICP-MS, GC-MS) for mass balances. Baselines: A) Annualized energy-allocation LCA (annual kWh allocated per tonne). B) IPCC/default per-activity emission factors. C) Bottom-up flux measures without electricity-volume linkage. Evaluation metrics: per-tonne CO2e emission factor mean and 95% CI; mean absolute percent difference (MAPD) vs baseline; RMSE of mass-balance closure (%); CI coverage probability (proportion of true/validation values within 95% CI); statistical difference test (mixed-effects model, alpha=0.05); power to detect 10% effect (target 80%). Experimental setup: stratified cluster sampling: 80 clusters across 8 provinces, formal vs informal strata, facility-scale strata; 8–12 device observations per key device class per site; 3–5 composite material samples/site. Measurement-to-EF conversion: EF_tonne = flux (g/s) × duty_cycle_hours × activity_duration_hours_per_tonne ÷ measured_mass_tonne. Validation experiments: mass-balance closure on 20% sites; paired full-shift continuous vs short-burst chamber campaigns at &gt;=10% sites; tracer-release dispersion test at selected sites. Uncertainty and runs: Monte Carlo with 50,000 iterations, beta priors for fractions, lognormal for positive EFs, rank-copula for correlations. Ablation studies: (1) remove electricity-volume linkage and compare EF distributions; (2) remove refrigerant-bank accounting to measure its contribution to total CO2e; (3) vary upscaling method: chamber direct flux vs plume-dispersion-corrected flux. Reported outputs: site- and province-level per-tonne CO2e with 95% CI, MAPD to baselines, and sensitivity of results to prior choices.</w:t>
      </w:r>
    </w:p>
    <w:p>
      <w:r>
        <w:t xml:space="preserve"> </w:t>
      </w:r>
    </w:p>
    <w:p>
      <w:pPr>
        <w:pStyle w:val="Heading2"/>
      </w:pPr>
      <w:r>
        <w:t>Risk Factors And Limitations</w:t>
      </w:r>
    </w:p>
    <w:p>
      <w:r>
        <w:t>Access and sampling bias: refusal or safety denial at informal sites and RDS seed bias may produce non-representative samples. RDS assumptions: degree misreporting, homophily, and bottlenecks can bias weights. Measurement limits: instrument LOD/LOQ may censor low-level refrigerant or dioxin signals and bias estimates. Episodic events: short-response windows may miss total mass burned or release, producing underestimation. Upscaling assumptions: duty-cycle and activity-duration estimates may not generalize across unobserved operations. Attribution: separating electricity-based indirect emissions from on-site fuel combustion may be uncertain. Mass-balance failures: incomplete material tracking can yield &gt;10% imbalance and unreliable validation. Missing data: daily meter or dismantling logs gaps may require imputation and introduce bias. Computational cost: large Monte Carlo runs with copulas increase compute time and storage. Generalizability: results from eight provinces may not transfer to all Chinese regions or other countries due to regulatory, climatic, and market differences. Ethical/legal constraints: worker privacy, consent, and local permissions can limit data sharing and spatial precision.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