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purpose_strategic_renewal_prereg</w:t>
      </w:r>
    </w:p>
    <w:p>
      <w:r>
        <w:t xml:space="preserve"> </w:t>
      </w:r>
    </w:p>
    <w:p>
      <w:pPr>
        <w:pStyle w:val="Heading2"/>
      </w:pPr>
      <w:r>
        <w:t>Title</w:t>
      </w:r>
    </w:p>
    <w:p>
      <w:r>
        <w:t>A preregistered causal and measurement study of how corporate purpose affects strategic renewal using staggered difference-in-differences, synthetic controls, and validated NLP indicators</w:t>
      </w:r>
    </w:p>
    <w:p>
      <w:r>
        <w:t xml:space="preserve"> </w:t>
      </w:r>
    </w:p>
    <w:p>
      <w:pPr>
        <w:pStyle w:val="Heading2"/>
      </w:pPr>
      <w:r>
        <w:t>Short Hypothesis</w:t>
      </w:r>
    </w:p>
    <w:p>
      <w:r>
        <w:t>Higher corporate purpose elasticity (greater allowable reinterpretation of purpose over time) increases the probability of a firm executing a strategic renewal event within 24 months, conditional on pre-treatment trends and observed firm covariates.</w:t>
      </w:r>
    </w:p>
    <w:p>
      <w:r>
        <w:t xml:space="preserve"> </w:t>
      </w:r>
    </w:p>
    <w:p>
      <w:pPr>
        <w:pStyle w:val="Heading2"/>
      </w:pPr>
      <w:r>
        <w:t>Related Work</w:t>
      </w:r>
    </w:p>
    <w:p>
      <w:r>
        <w:t>Existing research splits across conceptual work on corporate purpose, empirical studies of strategic renewal, and separate methods for textual measurement. Prior approaches either rely on small qualitative samples or on archival text measures with limited validation. Common weaknesses: weak causal identification (many correlations, few preregistered causal designs), inconsistent operational definitions of "renewal" and "purpose," sparse NLP validation against human codes, limited handling of time-varying confounding and reverse causality, and scarce pre-specified thresholds or power calculations. Methods for firm-level causal inference (difference-in-differences, synthetic control, instrumental variables) have been applied in other domains but are not consistently combined with rigorously validated NLP measures and latent-variable measurement models in this literature.</w:t>
      </w:r>
    </w:p>
    <w:p>
      <w:r>
        <w:t xml:space="preserve"> </w:t>
      </w:r>
    </w:p>
    <w:p>
      <w:pPr>
        <w:pStyle w:val="Heading2"/>
      </w:pPr>
      <w:r>
        <w:t>Abstract</w:t>
      </w:r>
    </w:p>
    <w:p>
      <w:r>
        <w:t>We study whether and how corporate purpose drives strategic renewal. The problem is that purpose and renewal measures are fragmented and endogenous (they can influence each other), so causal claims are weak. We use a preregistered, mixed-methods design that combines staggered difference-in-differences (a panel causal method that compares treated and control firms over time), synthetic controls for single pivots (a method that builds a weighted control from similar firms), validated NLP measures of purpose (fine-tuned contextual embeddings and topic models), and human coding. Main contributions: (1) preregistered event definitions and analytic rules to reduce researcher degrees of freedom, (2) a validated latent measurement model combining survey, NLP, and human codes, and (3) a triangulated causal test suite (modern DiD estimators, synthetic control, dynamic panel SEM). Expected outcome: clear, reproducible evidence on whether measurable features of purpose predict subsequent renewal and a packaged preregistration and measurement toolkit for future research.</w:t>
      </w:r>
    </w:p>
    <w:p>
      <w:r>
        <w:t xml:space="preserve"> </w:t>
      </w:r>
    </w:p>
    <w:p>
      <w:pPr>
        <w:pStyle w:val="Heading2"/>
      </w:pPr>
      <w:r>
        <w:t>Experiments</w:t>
      </w:r>
    </w:p>
    <w:p>
      <w:r>
        <w:t>Datasets: firm panels from S&amp;P500 and FTSE350 (annual financials from Compustat/Orbis), firm disclosures (mission statements, annual reports, sustainability reports), earnings-call transcripts, press releases, and hand-coded pivot events. Human coding sample: stratified N=300 documents dual-coded. Preprocessing: standard text cleaning, language detection, and translation where needed. NLP measures: fine-tune SBERT embeddings on corporate corpora; compute yearly firm-level purpose centroids; extract topic proportions with BERTopic; compute semantic-drift as mean yearly cosine distance of centroids (cosine distance measures angle between vectors; 0=identical, 1=orthogonal). Measurement model: CFA/SEM latent constructs using survey Likert items, NLP scores, and human codes. Event definition: pivot if new segment &gt;=20% revenue within 24 months OR core asset reallocation &gt;25% OR CEO-declared reorientation in filings. Primary estimators: Callaway &amp; Sant’Anna staggered DiD and Sun &amp; Abraham estimator (report cohort-specific ATT, event-study plots, and pre-trends). Single-case estimator: synthetic control with donor pool &gt;=20, pre-treatment RMSPE matching within 10%, and textual similarity threshold cosine&gt;0.7 for candidate donors. Endogeneity checks: system GMM (Arellano-Bover/Blundell-Bond), cross-lag SEM, SVAR and Granger tests. Validation metrics: causal: ATT estimates, cohort-specific CIs, placebo p-values, falsification outcomes; synthetic control: RMSPE ratio, permutation p-values, leave-one-out influence; NLP: precision/recall/F1 for automated labels, Krippendorff's alpha for human agreement (&gt;0.70 target), correlation between NLP and survey measures (target r&gt;0.60). Power and calibration: simulation-based MDE analysis with 1,000 draws per scenario varying Ntreated (20-200), pre/post lengths, AR(1) errors, and ICCs; require 80% power to detect ATT=0.04-0.06 SD. Ablations: (A) measurement ablation: compare latent model vs NLP-only vs survey-only; (B) threshold sensitivity: vary semantic-drift thresholds (0.10, 0.15, 0.20), RMSPE cutoffs (5%,10%,15%), cosine similarity (0.6,0.7,0.8); (C) estimator ablation: compare Callaway &amp; Sant’Anna vs Sun &amp; Abraham vs stacked DiD. Pre-registration: lock primary outcome (renewal within 24 months), primary estimator (Callaway &amp; Sant’Anna ATT), multiplicity correction (Holm) for secondary tests, clustering rules, and falsification list before analysis.</w:t>
      </w:r>
    </w:p>
    <w:p>
      <w:r>
        <w:t xml:space="preserve"> </w:t>
      </w:r>
    </w:p>
    <w:p>
      <w:pPr>
        <w:pStyle w:val="Heading2"/>
      </w:pPr>
      <w:r>
        <w:t>Risk Factors And Limitations</w:t>
      </w:r>
    </w:p>
    <w:p>
      <w:r>
        <w:t>Measurement error: NLP embeddings may mischaracterize purpose statements, especially in short or heavily branded texts. Human coding limits: achieving Krippendorff's alpha&gt;0.70 may require more than N=300 samples. Endogeneity residuals: unobserved time-varying confounders may bias estimates despite sensitivity checks. Small-sample inference: few treated events or few clusters may invalidate standard clustered SEs and require bootstrap or randomization inference. Threshold sensitivity: results may depend on chosen cutoffs (semantic-drift, RMSPE, cosine) and show instability across grids. Data access and privacy: internal documents may be unavailable, restricting generalizability to large public firms. Cross-lingual issues: translations can distort meaning in non-English disclosures. Computational cost: fine-tuning embeddings and running large simulations require significant compute. External validity: findings may not generalize to small firms, non-public organizations, or sectors with atypical disclosure practices.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