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quianyang_esv_lulc_plus</w:t>
      </w:r>
    </w:p>
    <w:p>
      <w:r>
        <w:t xml:space="preserve"> </w:t>
      </w:r>
    </w:p>
    <w:p>
      <w:pPr>
        <w:pStyle w:val="Heading2"/>
      </w:pPr>
      <w:r>
        <w:t>Title</w:t>
      </w:r>
    </w:p>
    <w:p>
      <w:r>
        <w:t>Quantifying the effects of land use and land cover change on ecosystem service value in Qianyang County using probabilistic LULC mapping, Monte Carlo uncertainty propagation, and PLUS model scenario simulation</w:t>
      </w:r>
    </w:p>
    <w:p>
      <w:r>
        <w:t xml:space="preserve"> </w:t>
      </w:r>
    </w:p>
    <w:p>
      <w:pPr>
        <w:pStyle w:val="Heading2"/>
      </w:pPr>
      <w:r>
        <w:t>Short Hypothesis</w:t>
      </w:r>
    </w:p>
    <w:p>
      <w:r>
        <w:t>Net conversion of cropland, forest, or grassland to built-up or barren land in Qianyang County between 2007 and 2022 caused a statistically significant decrease in total ecosystem services value (ESV) by 2022 compared to 2007, after accounting for classification uncertainty propagated into ESV estimates.</w:t>
      </w:r>
    </w:p>
    <w:p>
      <w:r>
        <w:t xml:space="preserve"> </w:t>
      </w:r>
    </w:p>
    <w:p>
      <w:pPr>
        <w:pStyle w:val="Heading2"/>
      </w:pPr>
      <w:r>
        <w:t>Related Work</w:t>
      </w:r>
    </w:p>
    <w:p>
      <w:r>
        <w:t>Existing work combines land use and land cover (LULC) mapping with ecosystem service valuation (ESV) models such as InVEST and applies land change models for scenario simulation (e.g., cellular automata and patch-generating models). Remote sensing classifications commonly use ensembles of machine learning (Random Forest, XGBoost) or deep learning (U-Net) to map LULC, and some studies use SAR (radar) fusion for disturbance detection. Uncertainty is sometimes addressed via confusion-matrix area adjustment or simple Monte Carlo runs, and future-land scenarios often use CA-based approaches. Limitations remain: (1) many studies use deterministic LULC maps that ignore per-pixel posterior uncertainty when driving ESV models; (2) Monte Carlo propagation is rarely combined with area-adjustment and spatially explicit posterior sampling at high realization counts; (3) surrogate models (emulators) for expensive ESV runs are under-validated, especially for tail behavior and spatial covariance; (4) SAR-optical fusion and trajectory-based rules for mixed/transition pixels are not consistently tested; (5) local empirical calibration data are often sparse, reducing confidence in monetary translations of ESV.</w:t>
      </w:r>
    </w:p>
    <w:p>
      <w:r>
        <w:t xml:space="preserve"> </w:t>
      </w:r>
    </w:p>
    <w:p>
      <w:pPr>
        <w:pStyle w:val="Heading2"/>
      </w:pPr>
      <w:r>
        <w:t>Abstract</w:t>
      </w:r>
    </w:p>
    <w:p>
      <w:r>
        <w:t>We assess how historical land use and land cover (LULC) change affects ecosystem services value (ESV) in Qianyang County by combining probabilistic LULC mapping, rigorous uncertainty propagation, and future scenario simulation. We generate per-pixel LULC posterior probabilities from ensemble classifiers with optical and Sentinel-1 SAR features for 2007–2022, flag mixed and uncertain transitions via a trajectory decision tree, and apply an area-adjustment protocol for unbiased area estimates. We propagate classification uncertainty into biophysical and monetary ESV using 1,000 Monte Carlo realizations of InVEST runs, employing emulators trained on a subset of full runs to reduce compute. We simulate 2050 LULC scenarios with the PLUS model (patch-generating land-use model) under three policy scenarios and quantify ESV changes and probabilities of threshold exceedance. The main contribution is an end-to-end, spatially explicit pipeline that (a) preserves per-pixel probabilistic information, (b) corrects mapped-area bias before valuation, and (c) provides decision-ready probabilistic maps and scenario comparisons for local land management.</w:t>
      </w:r>
    </w:p>
    <w:p>
      <w:r>
        <w:t xml:space="preserve"> </w:t>
      </w:r>
    </w:p>
    <w:p>
      <w:pPr>
        <w:pStyle w:val="Heading2"/>
      </w:pPr>
      <w:r>
        <w:t>Experiments</w:t>
      </w:r>
    </w:p>
    <w:p>
      <w:r>
        <w:t>Datasets: 30 m multi-year LULC stacks 2007–2022 including optical indices and Sentinel-1 VV/VH annual medians; field calibration/validation: nested 30x30 m vegetation plots, 0–30 cm soil cores (SOC, bulk density), streamflow gauge records, crop yield and irrigation maps; ancillary DEM (SRTM/ALOS) and cadastral/registry layers. Baselines: (A) deterministic single-year LULC maps → single InVEST run; (B) probabilistic per-pixel posteriors but no area-adjustment → Monte Carlo; (C) full Monte Carlo InVEST runs without emulation. Proposed method: ensemble classifier producing per-pixel posteriors, Olofsson-style area-adjustment, 1,000 Monte Carlo InVEST realizations with hybrid emulator strategy (300 full runs → train Random Forest/GBM emulator → expand to 1,000). Scenario models: PLUS-generated 2050 scenarios: business-as-usual (BAU), conservation-focused, and urban-expansion. Evaluation metrics: area-adjusted user and producer accuracies per class; mapped-area confidence intervals; change detection accuracy (change/no-change confusion matrix); ESV aggregate error metrics: median, 2.5–97.5% quantiles, coverage rate (fraction of validation observations within 95% CI); emulator diagnostics: R2, RMSE, continuous ranked probability score (CRPS), rank histograms, and spatial variograms of residuals (to assess spatial covariance); landscape metrics: patch density, edge density, fragmentation indices; policy metrics: probability-of-exceedance (PoE) for chosen ES loss thresholds. Experimental setup: produce classifiers with and without SAR features (ablation 1); vary mixed-pixel threshold (0.25, 0.35, 0.45) (ablation 2); run sensitivity with/without Olofsson area-adjustment (ablation 3). For emulator validation: reserve a spatially blocked test set and run 100 additional full InVEST runs in blocks where emulator CRPS or spatial residuals exceed thresholds. Report comparisons between baselines and proposed method for map accuracy, ESV totals, spatial distribution of ESV, PoE maps, and scenario differences for 2050.</w:t>
      </w:r>
    </w:p>
    <w:p>
      <w:r>
        <w:t xml:space="preserve"> </w:t>
      </w:r>
    </w:p>
    <w:p>
      <w:pPr>
        <w:pStyle w:val="Heading2"/>
      </w:pPr>
      <w:r>
        <w:t>Risk Factors And Limitations</w:t>
      </w:r>
    </w:p>
    <w:p>
      <w:r>
        <w:t>Technical failure modes: emulator may fail to reproduce tail distributions or spatial covariance of ESV outputs, leading to under- or over-confidence in probability maps; classifier posteriors may be poorly calibrated, especially in mixed/heterogeneous pixels, biasing Monte Carlo sampling. Data biases: field calibration samples may not cover all land-cover heterogeneity or change trajectories, producing sampling bias; local economic parameters for monetization may be unavailable or inconsistent. Compute and scale limits: full InVEST runs are computationally heavy; insufficient compute could force fewer realizations and reduce uncertainty resolution. Method limitations: area-adjustment assumes validation samples are independent and representative; spatial autocorrelation may violate this and inflate apparent accuracy. Generalization: results and calibrated parameters will be specific to Qianyang County and may not transfer to other regions without new local data. Policy interpretation limits: probabilistic outputs may be misunderstood by stakeholders who expect single-value estimates, causing misapplication of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