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pmot_dvt_postarthro_mot_scale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Development and validation of a protection-motivation-theory-based scale to predict postdischarge adherence to deep vein thrombosis prophylaxis after hip and knee arthroplasty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scores on the newly developed protection-motivation-theory-based motivation scale cause higher postdischarge prophylaxis adherence, measured as PDC ≥80% within 35 days.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medication adherence includes general self-report scales (for example MMAS-style instruments), brief barriers checklists, and some condition-specific adherence tools. Protection Motivation Theory (PMT) has been used to explain health behavior in multiple settings, but PMT-based instruments for postdischarge anticoagulant prophylaxis are uncommon. Prior DVT/prophylaxis studies often rely on pharmacy refill data without validated motivation measures, use small samples, or use self-report adherence alone. Psychometric work in related areas frequently lacks IRT-based item analysis, multi-group confirmatory factor analyses for measurement invariance, or linkage to objective adherence metrics (electronic monitoring or claims). Limitations in prior methods include: (1) limited theory grounding and domain coverage, (2) small or single-site samples that prevent robust factor or DIF testing, (3) reliance on self-report causing bias, and (4) scarce evaluation of how scale scores predict clinical endpoints (symptomatic VTE, major bleeding).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need for a validated, theory-grounded instrument to measure motivation for postdischarge deep vein thrombosis (DVT) prophylaxis after hip or knee arthroplasty. We propose to develop a brief scale based on Protection Motivation Theory (PMT) covering threat appraisal, response efficacy, self-efficacy, and barriers, using literature review, patient and caregiver interviews, and expert input to generate items. Psychometric evaluation will use graded-response item response models, exploratory and confirmatory factor analysis, and multi-group CFA to test invariance across language and literacy. Predictive validity will be assessed by linking scale scores to objective adherence (proportion of days covered, PDC ≥80% at 35 days) and to clinical endpoints (symptomatic VTE and ISTH major bleeding) in multi-site cohorts. Main contributions are a validated PMT-based motivation scale, published scoring rules, and evidence of its ability to stratify adherence risk for triage to tiered interventions. Expected impact: a practical tool to identify patients at risk for nonadherence and to guide targeted adherence support after arthroplasty.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Pilot cohort: N ≈ 150 patients across 4–6 sites undergoing primary total hip or knee arthroplasty discharged on outpatient DVT prophylaxis; (2) Validation cohort: N ≥ 500 patients across ≥8 sites with EHR, pharmacy claims, and survey data; (3) Augmented pooled cohort/registry linkage: target N = 2,000–5,000 for VTE/bleeding outcome analyses. Data elements: motivation scale responses, demographics, comorbidity (Charlson index), prior VTE, index procedure (THA/TKA), prophylaxis regimen, pharmacy fills, electronic monitoring (if available), pill counts, and adjudicated clinical events. Baselines: (a) demographic model (age, sex, comorbidity), (b) standard self-report adherence scale (eg MMAS-like), (c) refill-based PDC alone. Primary outcome: adherence defined as PDC ≥80% over 35 days. Secondary outcomes: continuous PDC, symptomatic VTE and ISTH major bleeding within 90 days. Psychometric metrics: Cronbach’s alpha and McDonald’s omega, EFA, CFA fit indices (CFI, TLI, RMSEA), Graded Response Model item discrimination and information, DIF via McFadden pseudo-R2 and effect sizes, MG-CFA configural/metric/scalar/residual invariance. Predictive modeling: elastic-net logistic regression predicting PDC≥80% with alpha grid {0.0,0.25,0.5,0.75,1.0}, lambda via 10-fold CV over 50 log-spaced values; compare models: (i) demographics-only, (ii) demographics + self-report, (iii) demographics + new scale, (iv) full model with interactions (motivation×prior VTE, motivation×regimen, motivation×social_support). Validation: internal bootstrap optimism correction (200 resamples), 10-fold CV, external validation on held-out sites (≥4 sites, ≥50 patients/site). Evaluation metrics: AUC, sensitivity, specificity, PPV, NPV, calibration slope and intercept, Brier score, decision-curve net benefit. Ablations: (A) remove each scale domain from full model to measure domain contribution; (B) compare sum-score vs IRT-based latent trait as predictor; (C) alternative source hierarchy for adherence (e-monitor vs PDC). Missing data: MICE with predictor set including outcomes and auxiliaries, number of imputations m = 40, convergence diagnostics, and pattern-mixture MNAR sensitivity imputations with delta shifts −10%, −20%, −30% in PDC for nonresponders. Multiplicity/control: predeclare primary predictor (total motivation score), use penalization for variable selection, and report bootstrap-adjusted coefficients; report false discovery rates for secondary tests. Power/sample targets: pilot N≈150 for item testing; validation N≥500 to detect OR≈1.5 per SD for adherence (80% power); pooled N≥2000 for modest VTE effect detection. Reporting: preregister protocol and analysis plan, publish scoring algorithm and code (redacted PHI).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items may show low discrimination or strong local dependence, limiting usable domains; full measurement invariance may not hold across languages or literacy groups. Data biases: self-report and social desirability may inflate motivation scores; differential missingness could bias associations if MNAR. Adherence measurement limits: pharmacy PDC may misclassify actual ingestion; electronic monitors are not always available. Low outcome incidence: symptomatic VTE and major bleeding are rare, limiting power to detect associations without registry linkage. Scalability and compute: IRT and MG-CFA on large multi-group samples require statistical expertise and compute resources; complex models may be hard to implement at bedside. Generalization limits: scale developed in arthroplasty patients may not transfer to other surgeries or to populations with different healthcare access. Governance constraints: cross-site linkage requires DUAs and privacy-preserving methods that may limit data completeness. Interpretation risks: cutoff thresholds derived in pilot may misclassify patients when applied in different settings or over time due to calibration drift.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