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Integrating cost-of-leverage and structural credit models to compute optimal bank capital and capital requirements</w:t>
      </w:r>
    </w:p>
    <w:p>
      <w:r>
        <w:t xml:space="preserve"> </w:t>
      </w:r>
    </w:p>
    <w:p>
      <w:pPr>
        <w:pStyle w:val="Heading2"/>
      </w:pPr>
      <w:r>
        <w:t>Short Hypothesis</w:t>
      </w:r>
    </w:p>
    <w:p>
      <w:r>
        <w:t>Holding asset risk and funding mix constant, increasing bank equity capital E reduces the bank's probability of failure and funding spreads so that the weighted average cost of capital (WACC) is minimized at an interior equity level (an observable U-shaped relationship between E and WACC).</w:t>
      </w:r>
    </w:p>
    <w:p>
      <w:r>
        <w:t xml:space="preserve"> </w:t>
      </w:r>
    </w:p>
    <w:p>
      <w:pPr>
        <w:pStyle w:val="Heading2"/>
      </w:pPr>
      <w:r>
        <w:t>Related Work</w:t>
      </w:r>
    </w:p>
    <w:p>
      <w:r>
        <w:t>Existing approaches split into two broad strands. One strand uses structural credit models (Merton-style) to map asset volatility to default probability and funding costs, but typically omits liquidity premia, rollover risk, and regulatory enforcement heterogeneity. The second strand uses corporate finance trade-off models (cost-of-leverage formulations like Fernandez) to weigh tax shields against distress costs, but often treats distress costs as a reduced form and ignores creditor-run dynamics and liquidity discounts. Empirical work on bank capital has relied on reduced-form DiD/RD around regulatory reforms or SIFI cutoffs, which identifies policy effects but does not deliver structural optimality or welfare counterfactuals. Limitations: (i) lack of an integrated model combining tax-shield loss, liquidity premium, and rollover-run technology; (ii) weak treatment of supervisory endogeneity and enforcement intensity; (iii) measurement problems for enforcement indices and high-frequency liquidity signals; (iv) sparse identification diagnostics and limited sensitivity analyses across normalization/imputation choices. These gaps impede computation of bank- and country-specific optimal capital profiles.</w:t>
      </w:r>
    </w:p>
    <w:p>
      <w:r>
        <w:t xml:space="preserve"> </w:t>
      </w:r>
    </w:p>
    <w:p>
      <w:pPr>
        <w:pStyle w:val="Heading2"/>
      </w:pPr>
      <w:r>
        <w:t>Abstract</w:t>
      </w:r>
    </w:p>
    <w:p>
      <w:r>
        <w:t>We address how bank equity levels affect funding costs and stability by combining a cost-of-leverage trade-off with a Merton-style structural credit model augmented for liquidity premia and rollover risk. The model embeds a parametric rollover hazard that depends on asset risk, uninsured funding share, distance-to-capital requirement, liquidity shortfall, and an enforcement-index (ENF) that captures supervisor intensity. We calibrate and estimate parameters by matching bank-level moments (capital ratios, deposit outflows, CDS jumps, tail losses) using simulated method of moments (SMM), and we map structural parameters to empirical instruments (staggered Basel phase-ins, SIFI cutoffs, tax reforms). The main contribution is a reproducible framework that quantifies the net effect of equity on weighted average cost of capital (WACC), yields bank- and country-specific optimal capital levels, and generates policy counterfactuals (leverage vs RWAs, bail-in vs bailout). Expected outcomes include robust optimal-capital profiles, sensitivity matrices across ENF normalizations, and a pre-registered set of empirical tests for identification.</w:t>
      </w:r>
    </w:p>
    <w:p>
      <w:r>
        <w:t xml:space="preserve"> </w:t>
      </w:r>
    </w:p>
    <w:p>
      <w:pPr>
        <w:pStyle w:val="Heading2"/>
      </w:pPr>
      <w:r>
        <w:t>Experiments</w:t>
      </w:r>
    </w:p>
    <w:p>
      <w:r>
        <w:t>Datasets: FR Y-9C (US consolidated bank data), FFIEC Call Reports, FDIC deposit flow series, Markit/ICE CDS histories, TRACE bond/repo prices, CCAR/DFAST outcomes, SIFI designation lists, supervisory action logs; pilot scope: US panel then cross-jurisdiction extension. Baselines: (A) pure Merton calibration (no liquidity premium, no ENF), (B) Fernandez cost-of-leverage reduced-form (no rollover hazard), (C) reduced-form DiD on Basel phase-ins using TWFE and robust staggered estimators, (D) full integrated model (proposed). Metrics: WACC (weighted average cost of capital: average cost of equity and debt weighted by capital structure), default probability (annual), optimal CET1 (percent of RWAs), RMSE between simulated and empirical moments, standardized treatment effects (per SD and per IQR), SMM objective value, first-stage F-statistics for instruments, number/percent of robustness specs that reverse sign. Estimation and setup: fix RNG seed; param grid for {τ_D, C_distress, π_bailout, risk-shift} with 50–100 nodes each; Monte Carlo draws 5,000–10,000 per node; SMM minimizes weighted distance with inverse covariance weighting. Identification checks: DiD with Callaway &amp; Sant’Anna estimator, RD at SIFI-size cutoffs, first-stage balance tests, placebo leads (3–5 years), Oster bounds for selection. Ablations: (1) drop ENF (set ENF constant), (2) drop liquidity premium (φ=0), (3) replacement ENF normalizations (winsorize+min–max, z-score, rank-normal), (4) imputation methods (mean, regression-based, multiple imputation), (5) binding threshold sensitivity (δ in {25,50,100} bps). Sensitivity matrix: run normalization × weighting (equal, PCA, entropy, expert) × imputation × binding thresholds; report coefficient, SE, standardized effect, and percent specifications changing sign/significance. Validation: holdout external validation split for ENF reliability (compute Cronbach alpha and intra-class correlation), clustered bootstrap (bank and year) for CIs, and report compute time and per-job seed-controlled logs.</w:t>
      </w:r>
    </w:p>
    <w:p>
      <w:r>
        <w:t xml:space="preserve"> </w:t>
      </w:r>
    </w:p>
    <w:p>
      <w:pPr>
        <w:pStyle w:val="Heading2"/>
      </w:pPr>
      <w:r>
        <w:t>Risk Factors And Limitations</w:t>
      </w:r>
    </w:p>
    <w:p>
      <w:r>
        <w:t>Identification and endogeneity: enforcement (ENF) and supervisory actions are endogenous to bank stress; instruments may be weak or invalid. Supervisory strategic behavior: supervisors may target troubled banks, biasing causal estimates. Measurement error: ENF components and high-frequency deposit flows may be noisy; normalization and imputation choices can change rankings. Dynamic panel bias: lagged dependent variables and fixed effects produce Nickell bias in short panels. Calibration identification: parameters may be observationally equivalent (weak local identification); Jacobian rank deficiency possible. Data access and privacy: intraday deposit and payment-system feeds may be proprietary or restricted. Computational limits: SMM with 5k–10k MC draws and large parameter grids requires HPC; runtime and reproducibility constraints. Generalization: optimal capital estimates may not transfer across jurisdictions with different resolution regimes or accounting definitions. Network exposures: limited or noisy interbank exposure matrices limit contagion analysis. Sensitivity to specification: core outcomes may depend on ENF normalization, binding-threshold choice, and assumed functional forms for fire-sale losses (φ).</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