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sustained_cs_revenue_sweden</w:t>
      </w:r>
    </w:p>
    <w:p>
      <w:r>
        <w:t xml:space="preserve"> </w:t>
      </w:r>
    </w:p>
    <w:p>
      <w:pPr>
        <w:pStyle w:val="Heading2"/>
      </w:pPr>
      <w:r>
        <w:t>Title</w:t>
      </w:r>
    </w:p>
    <w:p>
      <w:r>
        <w:t>Dynamic panel and staggered-difference-in-differences estimation of the sustained impact of customer satisfaction on individual bank revenue</w:t>
      </w:r>
    </w:p>
    <w:p>
      <w:r>
        <w:t xml:space="preserve"> </w:t>
      </w:r>
    </w:p>
    <w:p>
      <w:pPr>
        <w:pStyle w:val="Heading2"/>
      </w:pPr>
      <w:r>
        <w:t>Short Hypothesis</w:t>
      </w:r>
    </w:p>
    <w:p>
      <w:r>
        <w:t>An increase in a customer's measured satisfaction causes a sustained positive change in that customer's bank revenue over the following 1–4 years, and the magnitude of this causal effect varies nonlinearly across satisfaction tiers.</w:t>
      </w:r>
    </w:p>
    <w:p>
      <w:r>
        <w:t xml:space="preserve"> </w:t>
      </w:r>
    </w:p>
    <w:p>
      <w:pPr>
        <w:pStyle w:val="Heading2"/>
      </w:pPr>
      <w:r>
        <w:t>Related Work</w:t>
      </w:r>
    </w:p>
    <w:p>
      <w:r>
        <w:t>Prior work documents positive links between customer satisfaction and firm-level revenue and often uses cross-sectional or aggregate panel data. Common approaches include pooled regressions, simple fixed effects, short-horizon experiments, and machine-learning heterogeneity discovery (e.g., causal forests). Limitations remain: many studies use aggregate or unmatched data so individual-level translation is unclear; short follow-up windows limit inference on sustained effects; dynamic-panel bias from lagged outcomes is often uncorrected; staggered treatment timing can bias DiD estimators when effects are heterogeneous; measurement error in survey satisfaction attenuates estimates; spillovers between customers or branches are frequently ignored; and mediation pathways are seldom quantified with sensitivity bounds. Existing causal-ML heterogeneity findings can overfit and lack validation against instrumental or experimental benchmarks. Differential privacy and attrition (missingness not at random) impacts on inference and power are underexplored.</w:t>
      </w:r>
    </w:p>
    <w:p>
      <w:r>
        <w:t xml:space="preserve"> </w:t>
      </w:r>
    </w:p>
    <w:p>
      <w:pPr>
        <w:pStyle w:val="Heading2"/>
      </w:pPr>
      <w:r>
        <w:t>Abstract</w:t>
      </w:r>
    </w:p>
    <w:p>
      <w:r>
        <w:t>We study whether higher customer satisfaction (CS) causes sustained increases in individual bank revenue over 1–4 years. Using linked survey responses and transactional records for 19,060 Swedish retail customers, we combine dynamic-panel estimators (bias-corrected fixed effects, system GMM) and staggered difference-in-differences (Callaway &amp; Sant’Anna) to estimate sustained treatment effects while accounting for time dynamics and staggered exposures. We model CS as a latent index (confirmatory factor analysis / item-response; a way to reduce measurement error) and correct for errors-in-variables using test–retest reliability. We map spillovers via branch and mobility-based networks and estimate direct and indirect effects under partial interference (a model that allows limited spillovers). We preregister equivalence-based pre-trend rules and Monte Carlo diagnostics to identify estimator failure regions. Main contributions: (1) causal estimates of sustained individual-level revenue effects, (2) nonlinear effects across satisfaction tiers, and (3) reproducible diagnostics (power, DP impact, mediation bounds) to guide managerial ROI decisions. Expected outcome: defensible, actionable estimates of NPV uplift per CS point over 1–4 years.</w:t>
      </w:r>
    </w:p>
    <w:p>
      <w:r>
        <w:t xml:space="preserve"> </w:t>
      </w:r>
    </w:p>
    <w:p>
      <w:pPr>
        <w:pStyle w:val="Heading2"/>
      </w:pPr>
      <w:r>
        <w:t>Experiments</w:t>
      </w:r>
    </w:p>
    <w:p>
      <w:r>
        <w:t>Datasets: (A) Primary linked panel: 19,060 Swedish retail customers with survey-derived satisfaction items and monthly transactional records (balances, fees, interest, cross-sell events) covering at least 60 months where available; (B) synthetic panels that preserve marginal and temporal structure for reproducibility; (C) pilot/staggered rollout records if available. Baselines: pooled OLS, within-customer fixed effects (FE) without bias correction, bias-corrected FE (Kiviet-style), system GMM (Arellano–Bover/Blundell–Bond), Callaway &amp; Sant’Anna staggered-DiD (group-time ATT), Sun &amp; Abraham as robustness, panel ML where available, and causal forest heterogeneity. Preprocessing: construct latent CS index via confirmatory factor analysis (CFA) and IRT; compute reliability and test–retest weights; emit moving-average and distributed-lag CS features (0–60 months). Measurement variants: (i) raw CS item average, (ii) CFA latent score, (iii) reliability-weighted score. Estimands: 1-,2-,3-,4-year cumulative revenue ATT (in percent and $ per customer) and component-specific ATTs (interest, fees, cross-sell, retention). Diagnostics and tests: event-study with leads up to 8 quarters and uniform confidence bands; joint equivalence test using prespecified SEI (primary SEI = max($10, 0.25% baseline 3-year revenue)) and sensitivity grid {$5,$10,$25,$50}; placebo treatment dates; cluster-preserving permutation inference (&gt;=1000 draws) with studentized statistics; wild-cluster bootstrap when clusters &lt;30. Spillover experiments: compare exclusion-buffer analyses to partial-interference estimators (Hudgens–Halloran style) using two network definitions (branch-catchment and mobility neighbors) and vary buffer radii {0.5km,2km,5km} and tie windows {90 days,12 months}. Measurement-error experiments: compare errors-in-variables correction using test–retest reliability and validation subsamples versus uncorrected estimates. Mediation experiments: TMLE-based mediation and inverse odds weighting estimating natural direct/indirect effects with VanderWeele bounds and E-values translated to $; mediator windows pre-registered (months 1–6), outcome windows (6–36,36–60). MNAR and attrition experiments: implement pattern-mixture and selection-model approaches and inverse-probability weighting (IPW) variants; include these in power/bias simulations. Heterogeneity validation: compare causal-ML subgroup estimates (causal forest) to local IV or randomized pilot estimates; ablation removes ML-derived subgroups to test policy sensitivity. Differential privacy experiments: release aggregates under ε ∈ {0.5,1.0,2.0}, measure bias, SE inflation, MSE, and coverage; report when DP renders segment estimates unusable. Monte Carlo simulations: DGP grid with AR(1) persistence ρ ∈ {0.2,0.5,0.8}, ICC ∈ {0.01,0.05,0.10}, spillover fraction ∈ {0,0.1,0.3}, noncompliance ∈ {0,0.25,0.5}, MNAR attrition ∈ {0,0.15,0.30}, heteroskedasticity ratio ∈ {1,2,4}, IV F ∈ {2,5,10}; run 2000 reps per cell; freeze RNG seeds and publish seed file. Evaluation metrics: estimator bias, RMSE, 95% CI coverage, rejection rates under null, power / MDE in $ and percent baseline, joint-equivalence p-value, placebos percentile distributions, first-stage F-stat, complier share, and policy-relevant NPV uplift per CS point with CIs. Ablation studies: (1) with vs without bias correction; (2) raw CS vs latent CS; (3) excluding vs modeling spillovers; (4) DP/no-DP; (5) MNAR vs MAR treatments. Reproducibility: all scripts, seeds, and synthetic demos versioned in repo with CI-tested notebooks.</w:t>
      </w:r>
    </w:p>
    <w:p>
      <w:r>
        <w:t xml:space="preserve"> </w:t>
      </w:r>
    </w:p>
    <w:p>
      <w:pPr>
        <w:pStyle w:val="Heading2"/>
      </w:pPr>
      <w:r>
        <w:t>Risk Factors And Limitations</w:t>
      </w:r>
    </w:p>
    <w:p>
      <w:r>
        <w:t>Weak or invalid instruments (low first-stage F or violated exclusion restrictions) that prevent credible IV estimates. Remaining time-varying confounders or anticipatory behavior that bias DiD or panel estimates despite diagnostics. Measurement error in CS that is not fully captured by CFA/IRT or reliability corrections, causing attenuation. Misclassified network ties or incomplete mobility data that distort spillover estimates. MNAR attrition correlated with unobserved revenue drivers that invalidate standard IPW or imputation; selection-models may be sensitive to specification. Small numbers of treated clusters (&lt;30) reducing inference reliability and increasing reliance on bootstrap approximations. Differential privacy (small ε) inflates SEs and can make small-segment estimates unusable. Causal-ML heterogeneity (e.g., causal forests) risks overfitting and must be validated against IV/experimental benchmarks; lack of external experiments limits validation. Monte Carlo compute cost is high (2000 reps × many DGP cells) and may require compute scaling. Results may not generalize beyond the Swedish retail customer context or to banks with different product mixes or regulation. Sequential ignorability assumed for mediation may be violated in practice, limiting interpretation of direct/indirect effects.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