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maternal_mobility_latam</w:t>
      </w:r>
    </w:p>
    <w:p>
      <w:r>
        <w:t xml:space="preserve"> </w:t>
      </w:r>
    </w:p>
    <w:p>
      <w:pPr>
        <w:pStyle w:val="Heading2"/>
      </w:pPr>
      <w:r>
        <w:t>Title</w:t>
      </w:r>
    </w:p>
    <w:p>
      <w:r>
        <w:t>Causal estimation of maternal contributions to intergenerational mobility in Latin America using harmonized parental education and occupation and policy instruments</w:t>
      </w:r>
    </w:p>
    <w:p>
      <w:r>
        <w:t xml:space="preserve"> </w:t>
      </w:r>
    </w:p>
    <w:p>
      <w:pPr>
        <w:pStyle w:val="Heading2"/>
      </w:pPr>
      <w:r>
        <w:t>Short Hypothesis</w:t>
      </w:r>
    </w:p>
    <w:p>
      <w:r>
        <w:t>A one-year increase in maternal schooling causally increases an adult child's multi-year average log annual labor earnings (age 30–45).</w:t>
      </w:r>
    </w:p>
    <w:p>
      <w:r>
        <w:t xml:space="preserve"> </w:t>
      </w:r>
    </w:p>
    <w:p>
      <w:pPr>
        <w:pStyle w:val="Heading2"/>
      </w:pPr>
      <w:r>
        <w:t>Related Work</w:t>
      </w:r>
    </w:p>
    <w:p>
      <w:r>
        <w:t>Existing research on intergenerational mobility typically estimates parental effects using single proxies (mother-only or father-only schooling, or parental occupation) and simple OLS elasticities. Many studies rely on cross-sectional harmonization without formal measurement-invariance tests across countries or cohorts, which can bias cross-country comparisons. Causal work uses policy instruments or reforms, but staggered rollouts and heterogeneous timing have often been analyzed with conventional DiD estimators that are biased under treatment-timing heterogeneity. Sibling fixed-effects reduce family-level confounding but reduce sample size and may not address measurement error in parental inputs. Mediation analyses of maternal health and demographic channels exist but often lack robust sensitivity analysis for unmeasured confounding. Limitations across these approaches include weak instruments, poor harmonization across data sources, inadequate handling of attrition and selection, and sparse pre-registration of clustering and inference rules for small numbers of clusters.</w:t>
      </w:r>
    </w:p>
    <w:p>
      <w:r>
        <w:t xml:space="preserve"> </w:t>
      </w:r>
    </w:p>
    <w:p>
      <w:pPr>
        <w:pStyle w:val="Heading2"/>
      </w:pPr>
      <w:r>
        <w:t>Abstract</w:t>
      </w:r>
    </w:p>
    <w:p>
      <w:r>
        <w:t>We study how maternal inputs shape intergenerational mobility in five Latin American countries by combining parental education and occupation into harmonized family background measures and using policy variations and family designs for causal identification. The approach builds joint parental indices that pass cross-country measurement-invariance checks, then estimates intergenerational elasticities and rank–rank slopes for adult earnings and education. Causal leverage comes from sibling fixed effects and policy instruments (conditional cash transfers and health program expansions) analyzed with modern staggered-DiD and event-study estimators robust to heterogeneous timing. We report weak-instrument-robust inference, mediation decompositions separating maternal schooling, health, and time-use channels, and sensitivity analyses for attrition and measurement error. The main contribution is an operational, reproducible pipeline—harmonization crosswalks, estimator decision rules, and power/MDE calculators—that yields comparable, policy-relevant estimates of maternal contributions to child socioeconomic outcomes across countries and cohorts.</w:t>
      </w:r>
    </w:p>
    <w:p>
      <w:r>
        <w:t xml:space="preserve"> </w:t>
      </w:r>
    </w:p>
    <w:p>
      <w:pPr>
        <w:pStyle w:val="Heading2"/>
      </w:pPr>
      <w:r>
        <w:t>Experiments</w:t>
      </w:r>
    </w:p>
    <w:p>
      <w:r>
        <w:t>Datasets: harmonized national household surveys and available linked administrative earnings and program rollouts for Brazil, Mexico, Chile, Ecuador, and Panama. Construct parental variables: years of schooling, ISCED-2011 categories, ISCO-08 occupation codes, and a composite MCSTI (Mother-Child Status Transmission Index). Outcomes: multi-year average log labor earnings (age 30–45), earnings rank (cohort-specific), years of schooling, tertiary completion, occupational prestige score. Baselines: (A) OLS using maternal schooling only; (B) OLS using paternal schooling only; (C) OLS using parental occupation only; (D) OLS using combined parental MCSTI. Primary estimators: OLS with minimal and rich covariate tiers, sibling fixed effects, IV (policy instruments: Bolsa Família, PSF, Progresa/Prospera, Seguro Popular), Callaway &amp; Sant'Anna staggered-DiD, Sun &amp; Abraham event-study, generalized synthetic control as robustness. Inference: cluster at municipality for municipal treatments and state for state treatments; use wild cluster bootstrap if clusters &lt; 30; report robust SEs, Kleibergen–Paap, first-stage F, AR/CLR CIs. Measurement and pre-processing: multi-group CFA for invariance (configural/metric/scalar), SIMEX for measurement-error correction when validation subsamples exist, Pareto tail imputation for top-coded earnings, PPP 2017 deflation, and m=30 multiple imputations for item nonresponse. Evaluation metrics: IGE point estimate and 95% CI, rank–rank slope and CI, first-stage F, proportion mediated by maternal health (percent), MDE for IGE given sample N, false discovery rate (q-values) within outcome families, and balance/pre-trend p-values for DiD. Ablations: compare (1) maternal-only vs combined parental MCSTI; (2) analyses with and without maternal health index as mediator; (3) measurement-invariance enforced vs alignment-optimized indices; (4) with and without SIMEX correction for measurement error. Pre-specified sample thresholds: report OLS if N_parent–child ≥ 5,000, sibling-FE if ≥ 1,000 sibling pairs. Spatial checks: estimate spatial-lag models and buffer-exclusion DiD (exclude neighboring municipalities within pre-specified radii) to detect spillovers.</w:t>
      </w:r>
    </w:p>
    <w:p>
      <w:r>
        <w:t xml:space="preserve"> </w:t>
      </w:r>
    </w:p>
    <w:p>
      <w:pPr>
        <w:pStyle w:val="Heading2"/>
      </w:pPr>
      <w:r>
        <w:t>Risk Factors And Limitations</w:t>
      </w:r>
    </w:p>
    <w:p>
      <w:r>
        <w:t>Weak instruments: policy rollouts may produce first-stage F &lt; 10, limiting causal claims. Measurement non-invariance: composite indices may not be comparable across countries or cohorts, biasing cross-country contrasts. Linkage and data access: delays or missing unique IDs can prevent admin–survey linkage and shrink effective sample sizes. Attrition and selection: differential survival and panel dropout may bias estimates despite IPW and bounds. Spillovers/SUTVA violations: program effects may cross municipal borders and violate no-interference assumptions. Small clusters: few treated clusters reduce reliability of cluster-robust inference and require bootstrap adjustments that have limited power. Residual confounding: unobserved family-level factors could bias mediation results even after sibling-FE and IV. Computational cost: event-study, synthetic controls, and bootstrap inference are computationally intensive. Generalizability: results from five countries may not extend to other Latin American contexts or later cohorts. Ethical and governance constraints: DUAs and re-identification risk may restrict data sharing and reproducibility of linked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