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ecb_climate_bank_eventstudy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Event-study analysis of the effect of ECB climate announcements on European banks' stock returns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ECB climate announcements that signal higher transition costs cause banks with greater fossil-fuel lending exposure to exhibit lower cumulative abnormal returns in the one-day window around the announcement.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event-study methods to measure market responses to policy and climate news, staggered difference-in-differences (DID) to handle events with different timings, and instrument-based approaches to address exposure endogeneity. High-frequency (HF) microstructure adjustments (mid-quote returns, tick filtering) are commonly applied to isolate announcement effects within minutes. Measurement-error literature applies SIMEX (a method to correct bias from noisy variables) and Bayesian errors-in-variables models to propagate uncertainty from climate-model ensembles. Limitations remain: many studies use coarse event coding and ignore overlapping policy actions, leading to misattribution; staggered-DID estimators can be biased if timing heterogeneity or treatment interactions are not handled; exposure measures often suffer from measurement error and limited transparency; weak instruments and insufficient weak-IV robust inference weaken causal claims; HF returns studies sometimes omit microstructure corrections or clear news-filtering rules. These gaps reduce credibility of policy interpretation and hinder reproducibility.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ECB climate-related communications affect European banks' stock returns using a tightly pre-specified event-study design. We apply narrow intraday and short daily windows to capture immediate market reactions, combine staggered difference-in-differences estimators (Callaway &amp; Sant'Anna as primary, Sun &amp; Abraham for robustness) and local projections for dynamics, and use instrumented exposure to address endogeneity. Exposure is multidimensional (transition: bank fossil-fuel lending share; physical: branch-hazard mapping) with measurement-error correction via SIMEX and a Bayesian errors-in-variables model that propagates NGFS/CMIP6 ensemble uncertainty. High-frequency microstructure cleaning (mid-quote returns, 1–5 minute bins, stale-tick removal) isolates announcement effects. We compare results across European, eurozone, and ECB-supervised banks and report weak-IV robust inference, multiple-testing control, and a reproducible Dockerized pipeline. The main contribution is a transparent, causally-minded estimate of direction and magnitude of equity responses to ECB climate strategy signals, plus heterogeneity by bank exposure and funding profile, informing both investors and policy makers.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Intraday trades and quotes (1–5 minute bins) from commercial HF providers or exchange TAQ-like feeds; (2) daily stock returns and volumes (Refinitiv/Datastream); (3) bank fundamentals and consolidated balance sheets (Orbis/Bankscope or public filings); (4) supervisory exposures where available (ECB SSM variables, EBA templates); (5) climate exposures: CDP/MSCI/EBA-derived sectoral lending shares, branch-level geography linked to NGFS/CMIP6 hazard maps; (6) funding metrics: CDS spreads (Markit), bond yields, repo usage; (7) machine-readable ECB event list (announcement datetime, implementation date, event_type, intensity). Public proxies (OpenStreetMap, national filings) will replicate restricted data. Baselines: (A) naive event-study (no exposure interaction); (B) pooled OLS with bank and date fixed effects; (C) staggered-DID Callaway &amp; Sant'Anna (primary); (D) Sun &amp; Abraham staggered-DID (robustness); (E) IV two-stage least squares (first stage: historical regional fossil-intensity × bank branch footprint); (F) local projections (impulse-response over horizons). Outcomes and metrics: abnormal return (AR) in basis points = actual return minus expected return (market model); cumulative abnormal return (CAR) over windows; bootstrap confidence intervals; p-values; effect sizes in bps; changes in CDS spreads and funding costs for medium-horizon channels; minimum detectable effect (MDE) calibrated by Monte Carlo with clustering. Primary experimental setup: pre-register single primary specification: outcome = CAR over [-1,+1] trading days (one-day window), exposure = bank fossil-fuel lending share, primary IV = historical regional fossil-intensity × branch footprint, controls = log assets, leverage, pre-event volatility, CDS, VIX and market return; fixed effects = bank and event_date; standard errors clustered by bank and event date; inference = cluster bootstrap and weak-IV robust AR/CLR procedures if first-stage F&lt;10. HF preprocessing: compute mid-quote returns, drop zero-volume/stale ticks, aggregate to 1-minute and 5-minute bins, apply Scholes-Williams correction for non-synchronous trading, exclude overnight returns from HF windows. Ablations and robustness: (i) remove IV (OLS vs IV), (ii) alternative exposure measures (carbon intensity, green-asset ratio), (iii) SIMEX vs Bayesian EIV vs no correction for measurement error, (iv) alternate event priority rules and stacked-treatment estimators (multi-treatment event-study), (v) different primary horizons (0,1,2,5,10,20 days; 1,3,6 months), (vi) multiple-testing corrections (Romano–Wolf stepdown, FDR) on heterogeneity cells. Evaluation procedure: report primary estimate and CI for pre-registered spec, then full specification curve; provide power/MDE tables using actual bank and event counts and Monte Carlo draws with planned clustering.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bank exposure metrics (loan shares, branch allocations) may be noisy and bias coefficients toward zero; ensemble spreads may not capture structural uncertainty. Weak instruments: historical fossil-intensity instruments may be weak or violate exclusion if correlated with omitted regional shocks. Overlapping events and interference: multiple ECB announcements near each other can confound attribution and violate no-interference assumptions. HF confounding: concurrent macro news or other central-bank actions within intraday windows can bias HF estimates if not perfectly filtered. Data access and licensing: key sources (Orbis, CDP, MSCI, proprietary HF feeds) may be restricted, limiting replication. Sample size and power: limited number of discrete ECB climate events and listed banks can yield large MDEs for medium horizons. Computational cost: Bayesian ensemble EIV with nested bootstrap is compute-intensive and may require cloud resources. External validity: results for ECB announcements and European banks may not generalize to other jurisdictions or to non-bank financial firms.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