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homogeneity_risk_perception_systemic_risk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Measuring corporate risk-perception homogeneity with text mining and assessing its effect on systemic financial tail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Exogenous increases in firms' risk-perception homogeneity (H) cause higher system-level tail risk, raising SRISK-based system shortfall and joint tail event probability conditional on network exposures.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systemic risk with market-based capital shortfall metrics (SRISK), network contagion models, extreme-value theory (EVT) for tails, and text analytics for firm sentiment. Network models capture exposure links but typically omit fine-grained firm belief alignment. SRISK-style aggregation captures size-weighted vulnerability but ignores text-derived belief similarity. Text-based risk measures often use simple sentiment or topic frequency and lack rigorous measurement-error propagation. EVT and copula methods model tails but rarely condition dependence parameters on time-varying text-derived homogeneity. Causal work on disclosure or index events applies staggered difference-in-differences but often lacks pre-registered power, instrument strength rules, and robustness to embedding instability. In summary, prior methods either focus on exposures or on coarse text signals; they do not jointly (1) embed multi-component homogeneity from texts, holdings, governance, and VaR dispersion, (2) propagate NLP measurement uncertainty into tail and network models, or (3) pre-register numeric thresholds for identification and model selection.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alignment of corporate risk perceptions—measured from firm disclosures and holdings—amplifies systemic financial tail risk. We propose a reproducible pipeline that (1) extracts firm-level risk embeddings from financial texts, (2) constructs a normalized sector homogeneity index H combining embedding similarity, VaR dispersion, holdings overlap, and governance similarity, and (3) links H to systemic tail risk via two routes: a multiplicative SRISK_H aggregation and a homogeneity-weighted network contagion kernel embedded in an agent-based model. We pre-specify EVT-based joint-tail targets, staggered DiD identification strategies with candidate instruments, and a Bayesian hierarchical measurement-error model to propagate NLP and holdings uncertainty. Main contributions are: an operational H index with alignment diagnostics, a calibrated H→SRISK mapping with pre-registered loss and model-selection rules, and an ABM that quantifies amplification thresholds. Expected outcome: transparent, testable evidence on whether and how corporate belief alignment increases systemic tail risk, with reproducible code, numeric pre-registrations, and diagnostic thresholds for policy-relevant inference.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firm-level quarterly and daily data for a pilot of 30–60 large-cap financial firms, 5–7 years of daily returns, CDS spreads, balance-sheet items, SRISK inputs, 13F holdings (quarterly), board/auditor interlock records, and full-text filings/earnings-call transcripts. Holdout test crises: 2007–2009 and 2020 windows. Baselines: (B1) SRISK without H (standard SRISK); (B2) SRISK with simple sentiment score; (B3) contagion ABM with γ=0 (no homogeneity effect); (B4) text pipeline using TF-IDF+PCA centroids. Models and pipeline: (1) embedding model: SBERT/FinBERT fine-tuned on annotated risk sentences producing firm-period centroids; (2) H construction H_{s,t}=w_D D + w_S S + w_O O + w_G G with initial equal weights and cross-validated reweighting; (3) SRISK_H mapping SRISK_H = SRISK*(1+λ H^α) with cap M_cap and grid-search over λ∈[0,2], α∈{1,2,3}; (4) contagion kernel w_ij = E_ij*(1+γ sim_ij) with transmission p_ij=1−exp(−β w_ij); (5) EVT and copula pipeline: POT/GP univariate tails with thresholds at 95,97.5,99 percentiles and multivariate fits using t-copula, vine, and Hüsler–Reiss models where dependence params are functions of H; (6) identification: staggered-DiD via Callaway–Sant’Anna and Sun–Abraham, instrument tests for index rebalances and reporting-rule timing with first-stage F&gt;10. Calibration and inference: Bayesian hierarchical measurement-error model for component noise (Student-t errors), MCMC with 4 chains, 1k warmup, 2k posterior draws. Evaluation metrics: joint tail probability error, sector expected shortfall (ES) RMSE, ROC-AUC and Precision-Recall for systemic event prediction, Brier score, PIT uniformity, coverage of 95% predictive intervals, and goodness-of-fit for copulas (Cramér–von Mises). Ablations: (A1) drop S (text) from H to test text contribution; (A2) set γ=0 to test homogeneity amplification in ABM; (A3) replace FinBERT embeddings with TF-IDF+PCA to test embedding validity. Experimental splits: train on non-holdout periods, validate via time-block cross-validation, and test on holdout crisis windows. Report full specification curve across embedding hyperparameters, H window lengths (1,3,12 months), EVT thresholds, and DiD windows.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Embedding and NLP risks: temporal drift (embeddings change over time), low validation accuracy, and annotation errors that bias S component. Measurement error and dependence: misspecified error models or underestimated cross-sectional error covariance may understate uncertainty. Causal identification: instruments (index rebalances, reporting-rule timing) may violate exclusion restrictions; staggered DiD may have weak power for small samples. EVT and small-sample limits: tail estimation is sensitive to threshold choice and may be unreliable with few extreme events. ABM and calibration: model is compute-intensive and may be poorly identified if empirical moments are weak; posterior multimodality may complicate inference. Data and evaluation biases: survivorship bias, changes in reporting rules, and incomplete holdings data can distort O and G components. Scalability and compute: MCMC+ABM ensembles require substantial HPC (hundreds to thousands of core-hours); resource limits may force approximate inference. Generalization: results from the financial pilot sector may not transfer to other sectors with different network structures or disclosure norms.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